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9D73E" w14:textId="77777777" w:rsidR="00C52C16" w:rsidRDefault="00C52C16" w:rsidP="001E738D">
      <w:pPr>
        <w:pStyle w:val="Default"/>
      </w:pPr>
    </w:p>
    <w:p w14:paraId="2423BA56" w14:textId="5A115358" w:rsidR="00A503BE" w:rsidRPr="00021BCB" w:rsidRDefault="00C52C16" w:rsidP="001E738D">
      <w:pPr>
        <w:spacing w:line="240" w:lineRule="auto"/>
        <w:jc w:val="center"/>
        <w:rPr>
          <w:b/>
          <w:bCs/>
          <w:color w:val="E36C0A" w:themeColor="accent6" w:themeShade="BF"/>
          <w:sz w:val="36"/>
          <w:szCs w:val="36"/>
        </w:rPr>
      </w:pPr>
      <w:r w:rsidRPr="00021BCB">
        <w:rPr>
          <w:b/>
          <w:bCs/>
          <w:color w:val="E36C0A" w:themeColor="accent6" w:themeShade="BF"/>
          <w:sz w:val="36"/>
          <w:szCs w:val="36"/>
        </w:rPr>
        <w:t>Le radici religiose di un conflitto</w:t>
      </w:r>
    </w:p>
    <w:p w14:paraId="6FA70754" w14:textId="25177819" w:rsidR="00C52C16" w:rsidRPr="00021BCB" w:rsidRDefault="00C52C16" w:rsidP="001E738D">
      <w:pPr>
        <w:spacing w:line="240" w:lineRule="auto"/>
        <w:jc w:val="center"/>
        <w:rPr>
          <w:b/>
          <w:bCs/>
          <w:color w:val="E36C0A" w:themeColor="accent6" w:themeShade="BF"/>
          <w:sz w:val="36"/>
          <w:szCs w:val="36"/>
        </w:rPr>
      </w:pPr>
      <w:r w:rsidRPr="00021BCB">
        <w:rPr>
          <w:b/>
          <w:bCs/>
          <w:color w:val="E36C0A" w:themeColor="accent6" w:themeShade="BF"/>
          <w:sz w:val="36"/>
          <w:szCs w:val="36"/>
        </w:rPr>
        <w:t>15.5.2025</w:t>
      </w:r>
    </w:p>
    <w:p w14:paraId="263965C5" w14:textId="77777777" w:rsidR="00021BCB" w:rsidRDefault="00021BCB" w:rsidP="001E738D">
      <w:pPr>
        <w:spacing w:line="240" w:lineRule="auto"/>
        <w:ind w:firstLine="284"/>
        <w:rPr>
          <w:rFonts w:cstheme="minorHAnsi"/>
          <w:b/>
          <w:bCs/>
          <w:color w:val="E36C0A" w:themeColor="accent6" w:themeShade="BF"/>
          <w:sz w:val="36"/>
          <w:szCs w:val="36"/>
        </w:rPr>
      </w:pPr>
    </w:p>
    <w:p w14:paraId="011C98E1" w14:textId="5C8B2DD5" w:rsidR="00021BCB" w:rsidRPr="00021BCB" w:rsidRDefault="00021BCB" w:rsidP="001E738D">
      <w:pPr>
        <w:spacing w:line="240" w:lineRule="auto"/>
        <w:ind w:firstLine="284"/>
        <w:rPr>
          <w:rFonts w:cstheme="minorHAnsi"/>
          <w:b/>
          <w:bCs/>
          <w:color w:val="E36C0A" w:themeColor="accent6" w:themeShade="BF"/>
          <w:sz w:val="40"/>
          <w:szCs w:val="40"/>
        </w:rPr>
      </w:pPr>
      <w:r w:rsidRPr="00021BCB">
        <w:rPr>
          <w:rFonts w:cstheme="minorHAnsi"/>
          <w:b/>
          <w:bCs/>
          <w:color w:val="E36C0A" w:themeColor="accent6" w:themeShade="BF"/>
          <w:sz w:val="40"/>
          <w:szCs w:val="40"/>
        </w:rPr>
        <w:t>Ebraismo</w:t>
      </w:r>
    </w:p>
    <w:p w14:paraId="43797266" w14:textId="77777777" w:rsidR="00021BCB" w:rsidRDefault="00021BCB" w:rsidP="001E738D">
      <w:pPr>
        <w:spacing w:line="240" w:lineRule="auto"/>
        <w:ind w:firstLine="284"/>
        <w:rPr>
          <w:rFonts w:cstheme="minorHAnsi"/>
          <w:b/>
          <w:bCs/>
          <w:color w:val="E36C0A" w:themeColor="accent6" w:themeShade="BF"/>
          <w:sz w:val="36"/>
          <w:szCs w:val="36"/>
        </w:rPr>
      </w:pPr>
    </w:p>
    <w:p w14:paraId="2E49E3D7" w14:textId="77777777" w:rsidR="005121A9" w:rsidRDefault="005121A9" w:rsidP="001E738D">
      <w:pPr>
        <w:spacing w:line="240" w:lineRule="auto"/>
        <w:ind w:firstLine="284"/>
        <w:rPr>
          <w:rFonts w:cstheme="minorHAnsi"/>
          <w:b/>
          <w:bCs/>
          <w:color w:val="943634" w:themeColor="accent2" w:themeShade="BF"/>
          <w:sz w:val="36"/>
          <w:szCs w:val="36"/>
        </w:rPr>
      </w:pPr>
    </w:p>
    <w:p w14:paraId="45FEB7A3" w14:textId="7CE7D408" w:rsidR="005121A9" w:rsidRPr="005121A9" w:rsidRDefault="005121A9" w:rsidP="001E738D">
      <w:pPr>
        <w:spacing w:line="240" w:lineRule="auto"/>
        <w:ind w:firstLine="284"/>
        <w:rPr>
          <w:rFonts w:cstheme="minorHAnsi"/>
          <w:b/>
          <w:bCs/>
          <w:color w:val="E36C0A" w:themeColor="accent6" w:themeShade="BF"/>
          <w:sz w:val="36"/>
          <w:szCs w:val="36"/>
        </w:rPr>
      </w:pPr>
      <w:r w:rsidRPr="005121A9">
        <w:rPr>
          <w:rFonts w:cstheme="minorHAnsi"/>
          <w:b/>
          <w:bCs/>
          <w:color w:val="E36C0A" w:themeColor="accent6" w:themeShade="BF"/>
          <w:sz w:val="36"/>
          <w:szCs w:val="36"/>
        </w:rPr>
        <w:t>1.Un piccolo popolo</w:t>
      </w:r>
    </w:p>
    <w:p w14:paraId="57D7CECA" w14:textId="77777777" w:rsidR="005121A9" w:rsidRDefault="005121A9" w:rsidP="001E738D">
      <w:pPr>
        <w:spacing w:line="240" w:lineRule="auto"/>
        <w:ind w:firstLine="284"/>
        <w:rPr>
          <w:rFonts w:cstheme="minorHAnsi"/>
          <w:sz w:val="36"/>
          <w:szCs w:val="36"/>
        </w:rPr>
      </w:pPr>
    </w:p>
    <w:p w14:paraId="0D250EC7" w14:textId="77777777" w:rsidR="005121A9" w:rsidRPr="002E6D21" w:rsidRDefault="005121A9" w:rsidP="001E738D">
      <w:pPr>
        <w:spacing w:line="240" w:lineRule="auto"/>
        <w:ind w:firstLine="284"/>
        <w:rPr>
          <w:rFonts w:cstheme="minorHAnsi"/>
          <w:sz w:val="36"/>
          <w:szCs w:val="36"/>
        </w:rPr>
      </w:pPr>
      <w:r w:rsidRPr="002E6D21">
        <w:rPr>
          <w:rFonts w:cstheme="minorHAnsi"/>
          <w:sz w:val="36"/>
          <w:szCs w:val="36"/>
        </w:rPr>
        <w:t>«Il Signore si è legato a voi e vi ha scelti, non perché siete più numerosi di tutti gli altri popoli – siete infatti il più piccolo di tutti i popoli – ma perché il Signore vi ama e perché ha voluto mantenere il giuramento fatto ai vostri padri…» (Deuteronomio 7,7-8).</w:t>
      </w:r>
    </w:p>
    <w:p w14:paraId="61B49147" w14:textId="77777777" w:rsidR="005121A9" w:rsidRDefault="005121A9" w:rsidP="001E738D">
      <w:pPr>
        <w:tabs>
          <w:tab w:val="left" w:pos="1701"/>
          <w:tab w:val="left" w:pos="2268"/>
        </w:tabs>
        <w:spacing w:line="240" w:lineRule="auto"/>
        <w:ind w:firstLine="284"/>
        <w:rPr>
          <w:rFonts w:eastAsia="Times New Roman" w:cstheme="minorHAnsi"/>
          <w:color w:val="0D0D0D" w:themeColor="text1" w:themeTint="F2"/>
          <w:sz w:val="36"/>
          <w:szCs w:val="36"/>
          <w:shd w:val="clear" w:color="auto" w:fill="FFFFFF"/>
          <w:lang w:eastAsia="it-IT"/>
        </w:rPr>
      </w:pPr>
    </w:p>
    <w:p w14:paraId="67363858" w14:textId="77777777" w:rsidR="005121A9" w:rsidRPr="00021BCB" w:rsidRDefault="005121A9" w:rsidP="001E738D">
      <w:pPr>
        <w:tabs>
          <w:tab w:val="left" w:pos="1701"/>
          <w:tab w:val="left" w:pos="2268"/>
        </w:tabs>
        <w:spacing w:line="240" w:lineRule="auto"/>
        <w:ind w:firstLine="284"/>
        <w:rPr>
          <w:rFonts w:eastAsia="Times New Roman" w:cstheme="minorHAnsi"/>
          <w:b/>
          <w:bCs/>
          <w:color w:val="E36C0A" w:themeColor="accent6" w:themeShade="BF"/>
          <w:sz w:val="36"/>
          <w:szCs w:val="36"/>
          <w:shd w:val="clear" w:color="auto" w:fill="FFFFFF"/>
          <w:lang w:eastAsia="it-IT"/>
        </w:rPr>
      </w:pPr>
      <w:r w:rsidRPr="00021BCB">
        <w:rPr>
          <w:rFonts w:eastAsia="Times New Roman" w:cstheme="minorHAnsi"/>
          <w:b/>
          <w:bCs/>
          <w:color w:val="E36C0A" w:themeColor="accent6" w:themeShade="BF"/>
          <w:sz w:val="36"/>
          <w:szCs w:val="36"/>
          <w:shd w:val="clear" w:color="auto" w:fill="FFFFFF"/>
          <w:lang w:eastAsia="it-IT"/>
        </w:rPr>
        <w:t>1.1 Quanti sono oggi gli ebrei nel mondo?</w:t>
      </w:r>
    </w:p>
    <w:p w14:paraId="261C62DC" w14:textId="77777777" w:rsidR="005121A9" w:rsidRDefault="005121A9" w:rsidP="001E738D">
      <w:pPr>
        <w:tabs>
          <w:tab w:val="left" w:pos="1701"/>
          <w:tab w:val="left" w:pos="2268"/>
        </w:tabs>
        <w:spacing w:line="240" w:lineRule="auto"/>
        <w:ind w:firstLine="284"/>
        <w:rPr>
          <w:rFonts w:eastAsia="Times New Roman" w:cstheme="minorHAnsi"/>
          <w:color w:val="0D0D0D" w:themeColor="text1" w:themeTint="F2"/>
          <w:sz w:val="36"/>
          <w:szCs w:val="36"/>
          <w:shd w:val="clear" w:color="auto" w:fill="FFFFFF"/>
          <w:lang w:eastAsia="it-IT"/>
        </w:rPr>
      </w:pPr>
    </w:p>
    <w:p w14:paraId="2A095210" w14:textId="77777777" w:rsidR="005121A9" w:rsidRDefault="005121A9" w:rsidP="001E738D">
      <w:pPr>
        <w:tabs>
          <w:tab w:val="left" w:pos="1701"/>
          <w:tab w:val="left" w:pos="2268"/>
        </w:tabs>
        <w:spacing w:line="240" w:lineRule="auto"/>
        <w:ind w:firstLine="284"/>
        <w:rPr>
          <w:rFonts w:eastAsia="Times New Roman" w:cstheme="minorHAnsi"/>
          <w:sz w:val="36"/>
          <w:szCs w:val="36"/>
          <w:shd w:val="clear" w:color="auto" w:fill="FFFFFF"/>
          <w:lang w:eastAsia="it-IT"/>
        </w:rPr>
      </w:pPr>
      <w:r w:rsidRPr="002E6D21">
        <w:rPr>
          <w:rFonts w:eastAsia="Times New Roman" w:cstheme="minorHAnsi"/>
          <w:color w:val="0D0D0D" w:themeColor="text1" w:themeTint="F2"/>
          <w:sz w:val="36"/>
          <w:szCs w:val="36"/>
          <w:shd w:val="clear" w:color="auto" w:fill="FFFFFF"/>
          <w:lang w:eastAsia="it-IT"/>
        </w:rPr>
        <w:t xml:space="preserve">Da </w:t>
      </w:r>
      <w:r w:rsidRPr="002E6D21">
        <w:rPr>
          <w:rFonts w:eastAsia="Times New Roman" w:cstheme="minorHAnsi"/>
          <w:sz w:val="36"/>
          <w:szCs w:val="36"/>
          <w:shd w:val="clear" w:color="auto" w:fill="FFFFFF"/>
          <w:lang w:eastAsia="it-IT"/>
        </w:rPr>
        <w:t xml:space="preserve">S. Della Pergola, </w:t>
      </w:r>
      <w:r w:rsidRPr="002E6D21">
        <w:rPr>
          <w:rFonts w:eastAsia="Times New Roman" w:cstheme="minorHAnsi"/>
          <w:i/>
          <w:iCs/>
          <w:sz w:val="36"/>
          <w:szCs w:val="36"/>
          <w:shd w:val="clear" w:color="auto" w:fill="FFFFFF"/>
          <w:lang w:eastAsia="it-IT"/>
        </w:rPr>
        <w:t>Essere ebrei oggi</w:t>
      </w:r>
      <w:r w:rsidRPr="002E6D21">
        <w:rPr>
          <w:rFonts w:eastAsia="Times New Roman" w:cstheme="minorHAnsi"/>
          <w:sz w:val="36"/>
          <w:szCs w:val="36"/>
          <w:shd w:val="clear" w:color="auto" w:fill="FFFFFF"/>
          <w:lang w:eastAsia="it-IT"/>
        </w:rPr>
        <w:t>, il Mulino, Bologna 2024</w:t>
      </w:r>
      <w:r>
        <w:rPr>
          <w:rFonts w:eastAsia="Times New Roman" w:cstheme="minorHAnsi"/>
          <w:sz w:val="36"/>
          <w:szCs w:val="36"/>
          <w:shd w:val="clear" w:color="auto" w:fill="FFFFFF"/>
          <w:lang w:eastAsia="it-IT"/>
        </w:rPr>
        <w:t>.</w:t>
      </w:r>
    </w:p>
    <w:p w14:paraId="429DF5DF" w14:textId="77777777" w:rsidR="005121A9" w:rsidRPr="00AC014F" w:rsidRDefault="005121A9" w:rsidP="001E738D">
      <w:pPr>
        <w:tabs>
          <w:tab w:val="left" w:pos="1701"/>
          <w:tab w:val="left" w:pos="2268"/>
        </w:tabs>
        <w:spacing w:line="240" w:lineRule="auto"/>
        <w:ind w:firstLine="284"/>
        <w:rPr>
          <w:rFonts w:eastAsia="Times New Roman" w:cstheme="minorHAnsi"/>
          <w:color w:val="943634" w:themeColor="accent2" w:themeShade="BF"/>
          <w:sz w:val="36"/>
          <w:szCs w:val="36"/>
          <w:shd w:val="clear" w:color="auto" w:fill="FFFFFF"/>
          <w:lang w:eastAsia="it-IT"/>
        </w:rPr>
      </w:pPr>
    </w:p>
    <w:p w14:paraId="40EE3F7B" w14:textId="77777777" w:rsidR="005121A9" w:rsidRPr="002E6D21" w:rsidRDefault="005121A9" w:rsidP="001E738D">
      <w:pPr>
        <w:pStyle w:val="Paragrafoelenco"/>
        <w:spacing w:line="240" w:lineRule="auto"/>
        <w:ind w:left="0" w:firstLine="284"/>
        <w:rPr>
          <w:rFonts w:cstheme="minorHAnsi"/>
          <w:sz w:val="36"/>
          <w:szCs w:val="36"/>
        </w:rPr>
      </w:pPr>
      <w:r>
        <w:rPr>
          <w:rFonts w:cstheme="minorHAnsi"/>
          <w:sz w:val="36"/>
          <w:szCs w:val="36"/>
        </w:rPr>
        <w:t>«</w:t>
      </w:r>
      <w:r w:rsidRPr="002E6D21">
        <w:rPr>
          <w:rFonts w:cstheme="minorHAnsi"/>
          <w:sz w:val="36"/>
          <w:szCs w:val="36"/>
        </w:rPr>
        <w:t>Alla vigilia della Seconda guerra mondiale, la popolazione ebraica aveva raggiunto il suo massimo storico assoluto 16,5 milioni di persone</w:t>
      </w:r>
      <w:r>
        <w:rPr>
          <w:rFonts w:cstheme="minorHAnsi"/>
          <w:sz w:val="36"/>
          <w:szCs w:val="36"/>
        </w:rPr>
        <w:t>»</w:t>
      </w:r>
      <w:r w:rsidRPr="002E6D21">
        <w:rPr>
          <w:rFonts w:cstheme="minorHAnsi"/>
          <w:sz w:val="36"/>
          <w:szCs w:val="36"/>
        </w:rPr>
        <w:t xml:space="preserve"> (p. 35).</w:t>
      </w:r>
    </w:p>
    <w:p w14:paraId="0F0638DD" w14:textId="77777777" w:rsidR="005121A9" w:rsidRPr="002E6D21" w:rsidRDefault="005121A9" w:rsidP="001E738D">
      <w:pPr>
        <w:pStyle w:val="Paragrafoelenco"/>
        <w:spacing w:line="240" w:lineRule="auto"/>
        <w:ind w:left="1778" w:firstLine="284"/>
        <w:rPr>
          <w:rFonts w:cstheme="minorHAnsi"/>
          <w:sz w:val="36"/>
          <w:szCs w:val="36"/>
        </w:rPr>
      </w:pPr>
    </w:p>
    <w:p w14:paraId="7CC02E54" w14:textId="77777777" w:rsidR="005121A9" w:rsidRPr="002E6D21" w:rsidRDefault="005121A9" w:rsidP="001E738D">
      <w:pPr>
        <w:pStyle w:val="Paragrafoelenco"/>
        <w:spacing w:line="240" w:lineRule="auto"/>
        <w:ind w:left="0" w:firstLine="284"/>
        <w:rPr>
          <w:rFonts w:cstheme="minorHAnsi"/>
          <w:sz w:val="36"/>
          <w:szCs w:val="36"/>
        </w:rPr>
      </w:pPr>
      <w:r>
        <w:rPr>
          <w:rFonts w:cstheme="minorHAnsi"/>
          <w:sz w:val="36"/>
          <w:szCs w:val="36"/>
        </w:rPr>
        <w:t>«</w:t>
      </w:r>
      <w:r w:rsidRPr="002E6D21">
        <w:rPr>
          <w:rFonts w:cstheme="minorHAnsi"/>
          <w:sz w:val="36"/>
          <w:szCs w:val="36"/>
        </w:rPr>
        <w:t xml:space="preserve">Nel 2023 la popolazione ebraica mondiale ha raggiunto i 15,7 milioni. In questa crescita sono presenti due tendenze demografiche molto diverse: mentre la popolazione ebraica israeliana è </w:t>
      </w:r>
      <w:r w:rsidRPr="002E6D21">
        <w:rPr>
          <w:rFonts w:cstheme="minorHAnsi"/>
          <w:sz w:val="36"/>
          <w:szCs w:val="36"/>
        </w:rPr>
        <w:lastRenderedPageBreak/>
        <w:t>aumentata linearmente, dal mezzo milione iniziale del 1945 ai 7,1 del 2023, contando anche gli oltre 3,5 milioni di persone immigrate nel paese, la Diaspora ebraica è rimasta stabile dal 1945 fino ai primi anni Settanta (10,5 di individui), per poi diminuire fino a raggiungere nel 2023 la cifra di 8,6 milioni. Va tenuto conto che la popolazione totale del mondo nello stesso periodo è più che triplicata, passando da 2.315 miliardi nel 1945 a oltre 8 miliardi nel 2023. Pertanto la quota di ebrei sulla popolazione totale del mondo è diminuita costantemente, passando dal 4,75 per mille a 1,97 per mille nel 2023</w:t>
      </w:r>
      <w:r>
        <w:rPr>
          <w:rFonts w:cstheme="minorHAnsi"/>
          <w:sz w:val="36"/>
          <w:szCs w:val="36"/>
        </w:rPr>
        <w:t>»</w:t>
      </w:r>
      <w:r w:rsidRPr="002E6D21">
        <w:rPr>
          <w:rFonts w:cstheme="minorHAnsi"/>
          <w:sz w:val="36"/>
          <w:szCs w:val="36"/>
        </w:rPr>
        <w:t xml:space="preserve"> (pp. 39-40)</w:t>
      </w:r>
    </w:p>
    <w:p w14:paraId="73BE479F" w14:textId="77777777" w:rsidR="005121A9" w:rsidRPr="002E6D21" w:rsidRDefault="005121A9" w:rsidP="001E738D">
      <w:pPr>
        <w:pStyle w:val="Paragrafoelenco"/>
        <w:spacing w:line="240" w:lineRule="auto"/>
        <w:ind w:left="1778" w:firstLine="284"/>
        <w:rPr>
          <w:rFonts w:cstheme="minorHAnsi"/>
          <w:sz w:val="36"/>
          <w:szCs w:val="36"/>
        </w:rPr>
      </w:pPr>
    </w:p>
    <w:p w14:paraId="65CE8962" w14:textId="77777777" w:rsidR="005121A9" w:rsidRPr="002E6D21" w:rsidRDefault="005121A9" w:rsidP="001E738D">
      <w:pPr>
        <w:pStyle w:val="Paragrafoelenco"/>
        <w:spacing w:line="240" w:lineRule="auto"/>
        <w:ind w:left="0" w:firstLine="284"/>
        <w:rPr>
          <w:rFonts w:cstheme="minorHAnsi"/>
          <w:sz w:val="36"/>
          <w:szCs w:val="36"/>
        </w:rPr>
      </w:pPr>
      <w:r>
        <w:rPr>
          <w:rFonts w:cstheme="minorHAnsi"/>
          <w:sz w:val="36"/>
          <w:szCs w:val="36"/>
        </w:rPr>
        <w:t>«</w:t>
      </w:r>
      <w:r w:rsidRPr="002E6D21">
        <w:rPr>
          <w:rFonts w:cstheme="minorHAnsi"/>
          <w:sz w:val="36"/>
          <w:szCs w:val="36"/>
        </w:rPr>
        <w:t>Nel 2023 due paesi – Israele e gli Stati Uniti -</w:t>
      </w:r>
      <w:r>
        <w:rPr>
          <w:rFonts w:cstheme="minorHAnsi"/>
          <w:sz w:val="36"/>
          <w:szCs w:val="36"/>
        </w:rPr>
        <w:t xml:space="preserve"> </w:t>
      </w:r>
      <w:r w:rsidRPr="002E6D21">
        <w:rPr>
          <w:rFonts w:cstheme="minorHAnsi"/>
          <w:sz w:val="36"/>
          <w:szCs w:val="36"/>
        </w:rPr>
        <w:t>accoglievano oltre 85% del totale degli ebrei, contro il 63% del 1970; nello stesso anno altri 23 paesi, ciascuno con più di 10.000 ebrei, ne comprendeva un altro 14 %, mentre in altri 80, ciascuno con una popolazione ebraica inferiore i 10.000 persone, risiedeva il restante 1%</w:t>
      </w:r>
      <w:r>
        <w:rPr>
          <w:rFonts w:cstheme="minorHAnsi"/>
          <w:sz w:val="36"/>
          <w:szCs w:val="36"/>
        </w:rPr>
        <w:t>»</w:t>
      </w:r>
      <w:r w:rsidRPr="002E6D21">
        <w:rPr>
          <w:rFonts w:cstheme="minorHAnsi"/>
          <w:sz w:val="36"/>
          <w:szCs w:val="36"/>
        </w:rPr>
        <w:t xml:space="preserve"> (p. 40).</w:t>
      </w:r>
    </w:p>
    <w:p w14:paraId="3F7960B9" w14:textId="77777777" w:rsidR="005121A9" w:rsidRPr="002E6D21" w:rsidRDefault="005121A9" w:rsidP="001E738D">
      <w:pPr>
        <w:pStyle w:val="Paragrafoelenco"/>
        <w:spacing w:line="240" w:lineRule="auto"/>
        <w:ind w:left="142" w:firstLine="284"/>
        <w:rPr>
          <w:rFonts w:cstheme="minorHAnsi"/>
          <w:sz w:val="36"/>
          <w:szCs w:val="36"/>
        </w:rPr>
      </w:pPr>
    </w:p>
    <w:p w14:paraId="2E80772B" w14:textId="77777777" w:rsidR="005121A9" w:rsidRPr="002E6D21" w:rsidRDefault="005121A9" w:rsidP="001E738D">
      <w:pPr>
        <w:pStyle w:val="Paragrafoelenco"/>
        <w:spacing w:line="240" w:lineRule="auto"/>
        <w:ind w:left="0" w:firstLine="284"/>
        <w:rPr>
          <w:rFonts w:cstheme="minorHAnsi"/>
          <w:sz w:val="36"/>
          <w:szCs w:val="36"/>
        </w:rPr>
      </w:pPr>
      <w:r>
        <w:rPr>
          <w:rFonts w:cstheme="minorHAnsi"/>
          <w:sz w:val="36"/>
          <w:szCs w:val="36"/>
        </w:rPr>
        <w:t>«</w:t>
      </w:r>
      <w:r w:rsidRPr="002E6D21">
        <w:rPr>
          <w:rFonts w:cstheme="minorHAnsi"/>
          <w:sz w:val="36"/>
          <w:szCs w:val="36"/>
        </w:rPr>
        <w:t>Il 96% della popolazione ebraica vive in regioni geoculturali che, comprendono i paesi più sviluppati con meno del 10% della popolazione globale, e il 4% vive in aree geoculturali costituiti da paesi meno o molto meno sviluppati che comprendono il 90% della popolazione mondiale</w:t>
      </w:r>
      <w:r>
        <w:rPr>
          <w:rFonts w:cstheme="minorHAnsi"/>
          <w:sz w:val="36"/>
          <w:szCs w:val="36"/>
        </w:rPr>
        <w:t>»</w:t>
      </w:r>
      <w:r w:rsidRPr="002E6D21">
        <w:rPr>
          <w:rFonts w:cstheme="minorHAnsi"/>
          <w:sz w:val="36"/>
          <w:szCs w:val="36"/>
        </w:rPr>
        <w:t xml:space="preserve"> (pp.47-48)</w:t>
      </w:r>
    </w:p>
    <w:p w14:paraId="11687DEC" w14:textId="77777777" w:rsidR="005121A9" w:rsidRDefault="005121A9" w:rsidP="001E738D">
      <w:pPr>
        <w:spacing w:line="240" w:lineRule="auto"/>
        <w:ind w:firstLine="284"/>
        <w:rPr>
          <w:rFonts w:cstheme="minorHAnsi"/>
          <w:bCs/>
          <w:sz w:val="36"/>
          <w:szCs w:val="36"/>
        </w:rPr>
      </w:pPr>
    </w:p>
    <w:p w14:paraId="70B37D48" w14:textId="77777777" w:rsidR="005121A9" w:rsidRPr="002E6D21" w:rsidRDefault="005121A9" w:rsidP="001E738D">
      <w:pPr>
        <w:spacing w:line="240" w:lineRule="auto"/>
        <w:ind w:firstLine="284"/>
        <w:rPr>
          <w:rFonts w:cstheme="minorHAnsi"/>
          <w:b/>
          <w:smallCaps/>
          <w:sz w:val="36"/>
          <w:szCs w:val="36"/>
        </w:rPr>
      </w:pPr>
      <w:r>
        <w:rPr>
          <w:rFonts w:cstheme="minorHAnsi"/>
          <w:b/>
          <w:sz w:val="36"/>
          <w:szCs w:val="36"/>
        </w:rPr>
        <w:t xml:space="preserve">1.2 </w:t>
      </w:r>
      <w:r w:rsidRPr="002E6D21">
        <w:rPr>
          <w:rFonts w:cstheme="minorHAnsi"/>
          <w:b/>
          <w:sz w:val="36"/>
          <w:szCs w:val="36"/>
        </w:rPr>
        <w:t>Stato d’Israele</w:t>
      </w:r>
    </w:p>
    <w:p w14:paraId="30DA15FD" w14:textId="77777777" w:rsidR="005121A9" w:rsidRPr="002E6D21" w:rsidRDefault="005121A9" w:rsidP="001E738D">
      <w:pPr>
        <w:spacing w:line="240" w:lineRule="auto"/>
        <w:ind w:firstLine="284"/>
        <w:rPr>
          <w:rFonts w:cstheme="minorHAnsi"/>
          <w:bCs/>
          <w:color w:val="000000" w:themeColor="text1"/>
          <w:sz w:val="36"/>
          <w:szCs w:val="36"/>
        </w:rPr>
      </w:pPr>
      <w:r w:rsidRPr="002E6D21">
        <w:rPr>
          <w:rFonts w:cstheme="minorHAnsi"/>
          <w:bCs/>
          <w:color w:val="000000" w:themeColor="text1"/>
          <w:sz w:val="36"/>
          <w:szCs w:val="36"/>
        </w:rPr>
        <w:t xml:space="preserve">Superficie: 20.325 kmq (il dato non include Striscia di Gaza, West Bank, Alture del Golan e Gerusalemme est). </w:t>
      </w:r>
    </w:p>
    <w:p w14:paraId="398A54DD" w14:textId="77777777" w:rsidR="005121A9" w:rsidRPr="002E6D21" w:rsidRDefault="005121A9" w:rsidP="001E738D">
      <w:pPr>
        <w:spacing w:line="240" w:lineRule="auto"/>
        <w:ind w:firstLine="284"/>
        <w:rPr>
          <w:rFonts w:cstheme="minorHAnsi"/>
          <w:bCs/>
          <w:color w:val="000000" w:themeColor="text1"/>
          <w:sz w:val="36"/>
          <w:szCs w:val="36"/>
        </w:rPr>
      </w:pPr>
      <w:r w:rsidRPr="002E6D21">
        <w:rPr>
          <w:rFonts w:cstheme="minorHAnsi"/>
          <w:bCs/>
          <w:color w:val="000000" w:themeColor="text1"/>
          <w:sz w:val="36"/>
          <w:szCs w:val="36"/>
        </w:rPr>
        <w:lastRenderedPageBreak/>
        <w:t>Superficie della Sicilia 25.832 km</w:t>
      </w:r>
      <w:r w:rsidRPr="002E6D21">
        <w:rPr>
          <w:rFonts w:cstheme="minorHAnsi"/>
          <w:bCs/>
          <w:color w:val="000000" w:themeColor="text1"/>
          <w:sz w:val="36"/>
          <w:szCs w:val="36"/>
          <w:vertAlign w:val="superscript"/>
        </w:rPr>
        <w:t>2</w:t>
      </w:r>
      <w:r w:rsidRPr="002E6D21">
        <w:rPr>
          <w:rFonts w:cstheme="minorHAnsi"/>
          <w:bCs/>
          <w:color w:val="000000" w:themeColor="text1"/>
          <w:sz w:val="36"/>
          <w:szCs w:val="36"/>
        </w:rPr>
        <w:t>, abitanti (al 30.11.2024): 4.782.145.</w:t>
      </w:r>
    </w:p>
    <w:p w14:paraId="0AE686D8" w14:textId="77777777" w:rsidR="005121A9" w:rsidRPr="002E6D21" w:rsidRDefault="005121A9" w:rsidP="001E738D">
      <w:pPr>
        <w:spacing w:line="240" w:lineRule="auto"/>
        <w:ind w:firstLine="284"/>
        <w:rPr>
          <w:rFonts w:cstheme="minorHAnsi"/>
          <w:bCs/>
          <w:color w:val="000000" w:themeColor="text1"/>
          <w:sz w:val="36"/>
          <w:szCs w:val="36"/>
        </w:rPr>
      </w:pPr>
      <w:r w:rsidRPr="002E6D21">
        <w:rPr>
          <w:rFonts w:cstheme="minorHAnsi"/>
          <w:bCs/>
          <w:color w:val="000000" w:themeColor="text1"/>
          <w:sz w:val="36"/>
          <w:szCs w:val="36"/>
        </w:rPr>
        <w:t>Popolazione dello Stato d’Israele: 9, 66 mln (dato aggiornato a fine 2022)</w:t>
      </w:r>
    </w:p>
    <w:p w14:paraId="48CFB6CE" w14:textId="77777777" w:rsidR="005121A9" w:rsidRPr="002E6D21" w:rsidRDefault="005121A9" w:rsidP="001E738D">
      <w:pPr>
        <w:spacing w:line="240" w:lineRule="auto"/>
        <w:ind w:firstLine="284"/>
        <w:rPr>
          <w:rFonts w:cstheme="minorHAnsi"/>
          <w:bCs/>
          <w:color w:val="000000" w:themeColor="text1"/>
          <w:sz w:val="36"/>
          <w:szCs w:val="36"/>
        </w:rPr>
      </w:pPr>
      <w:r w:rsidRPr="002E6D21">
        <w:rPr>
          <w:rFonts w:cstheme="minorHAnsi"/>
          <w:bCs/>
          <w:color w:val="000000" w:themeColor="text1"/>
          <w:sz w:val="36"/>
          <w:szCs w:val="36"/>
        </w:rPr>
        <w:t>Secondo l’Ufficio israeliano di statistica al 1.1.2025, la popolazione ha superato i 10 milioni, di cui:</w:t>
      </w:r>
    </w:p>
    <w:p w14:paraId="63A4C85D" w14:textId="77777777" w:rsidR="005121A9" w:rsidRDefault="005121A9" w:rsidP="001E738D">
      <w:pPr>
        <w:spacing w:line="240" w:lineRule="auto"/>
        <w:ind w:firstLine="284"/>
        <w:rPr>
          <w:rFonts w:cstheme="minorHAnsi"/>
          <w:bCs/>
          <w:color w:val="000000" w:themeColor="text1"/>
          <w:sz w:val="36"/>
          <w:szCs w:val="36"/>
        </w:rPr>
      </w:pPr>
      <w:r w:rsidRPr="002E6D21">
        <w:rPr>
          <w:rFonts w:cstheme="minorHAnsi"/>
          <w:bCs/>
          <w:color w:val="000000" w:themeColor="text1"/>
          <w:sz w:val="36"/>
          <w:szCs w:val="36"/>
        </w:rPr>
        <w:t>76,9% ebrei, 21% arabi; 2,1% altri.  N.B. si dice semplicemente «arabi» per non dire «palestinesi»</w:t>
      </w:r>
      <w:r>
        <w:rPr>
          <w:rFonts w:cstheme="minorHAnsi"/>
          <w:bCs/>
          <w:color w:val="000000" w:themeColor="text1"/>
          <w:sz w:val="36"/>
          <w:szCs w:val="36"/>
        </w:rPr>
        <w:t>.</w:t>
      </w:r>
    </w:p>
    <w:p w14:paraId="6FB31E88" w14:textId="77777777" w:rsidR="00B23C1A" w:rsidRDefault="00B23C1A" w:rsidP="001E738D">
      <w:pPr>
        <w:spacing w:line="240" w:lineRule="auto"/>
        <w:ind w:firstLine="284"/>
        <w:rPr>
          <w:rFonts w:cstheme="minorHAnsi"/>
          <w:bCs/>
          <w:color w:val="000000" w:themeColor="text1"/>
          <w:sz w:val="36"/>
          <w:szCs w:val="36"/>
        </w:rPr>
      </w:pPr>
    </w:p>
    <w:p w14:paraId="42C79CC1" w14:textId="43586358" w:rsidR="00B23C1A" w:rsidRDefault="00B23C1A" w:rsidP="001E738D">
      <w:pPr>
        <w:spacing w:line="240" w:lineRule="auto"/>
        <w:ind w:firstLine="284"/>
        <w:rPr>
          <w:rFonts w:eastAsia="Times New Roman" w:cstheme="minorHAnsi"/>
          <w:b/>
          <w:bCs/>
          <w:color w:val="E36C0A" w:themeColor="accent6" w:themeShade="BF"/>
          <w:sz w:val="36"/>
          <w:szCs w:val="36"/>
          <w:lang w:eastAsia="it-IT"/>
        </w:rPr>
      </w:pPr>
      <w:r w:rsidRPr="00B23C1A">
        <w:rPr>
          <w:rFonts w:eastAsia="Times New Roman" w:cstheme="minorHAnsi"/>
          <w:b/>
          <w:bCs/>
          <w:color w:val="E36C0A" w:themeColor="accent6" w:themeShade="BF"/>
          <w:sz w:val="36"/>
          <w:szCs w:val="36"/>
          <w:lang w:eastAsia="it-IT"/>
        </w:rPr>
        <w:t>2. Terra</w:t>
      </w:r>
    </w:p>
    <w:p w14:paraId="2C98C396" w14:textId="77777777" w:rsidR="00DB42C5" w:rsidRPr="00B23C1A" w:rsidRDefault="00DB42C5" w:rsidP="001E738D">
      <w:pPr>
        <w:spacing w:line="240" w:lineRule="auto"/>
        <w:ind w:firstLine="284"/>
        <w:rPr>
          <w:rFonts w:eastAsia="Times New Roman" w:cstheme="minorHAnsi"/>
          <w:b/>
          <w:bCs/>
          <w:color w:val="E36C0A" w:themeColor="accent6" w:themeShade="BF"/>
          <w:sz w:val="36"/>
          <w:szCs w:val="36"/>
          <w:lang w:eastAsia="it-IT"/>
        </w:rPr>
      </w:pPr>
    </w:p>
    <w:p w14:paraId="7ED561C4" w14:textId="07FFA314" w:rsidR="00B23C1A" w:rsidRPr="00B23C1A" w:rsidRDefault="00021BCB" w:rsidP="001E738D">
      <w:pPr>
        <w:spacing w:line="240" w:lineRule="auto"/>
        <w:ind w:firstLine="284"/>
        <w:rPr>
          <w:rFonts w:eastAsia="Times New Roman" w:cstheme="minorHAnsi"/>
          <w:b/>
          <w:bCs/>
          <w:color w:val="E36C0A" w:themeColor="accent6" w:themeShade="BF"/>
          <w:sz w:val="36"/>
          <w:szCs w:val="36"/>
          <w:lang w:eastAsia="it-IT"/>
        </w:rPr>
      </w:pPr>
      <w:r>
        <w:rPr>
          <w:rFonts w:eastAsia="Times New Roman" w:cstheme="minorHAnsi"/>
          <w:b/>
          <w:bCs/>
          <w:color w:val="E36C0A" w:themeColor="accent6" w:themeShade="BF"/>
          <w:sz w:val="36"/>
          <w:szCs w:val="36"/>
          <w:lang w:eastAsia="it-IT"/>
        </w:rPr>
        <w:t>2</w:t>
      </w:r>
      <w:r w:rsidR="00B23C1A" w:rsidRPr="00B63E5E">
        <w:rPr>
          <w:rFonts w:eastAsia="Times New Roman" w:cstheme="minorHAnsi"/>
          <w:b/>
          <w:bCs/>
          <w:color w:val="E36C0A" w:themeColor="accent6" w:themeShade="BF"/>
          <w:sz w:val="36"/>
          <w:szCs w:val="36"/>
          <w:lang w:eastAsia="it-IT"/>
        </w:rPr>
        <w:t>.</w:t>
      </w:r>
      <w:r w:rsidR="00B23C1A" w:rsidRPr="00B23C1A">
        <w:rPr>
          <w:rFonts w:eastAsia="Times New Roman" w:cstheme="minorHAnsi"/>
          <w:b/>
          <w:bCs/>
          <w:color w:val="E36C0A" w:themeColor="accent6" w:themeShade="BF"/>
          <w:sz w:val="36"/>
          <w:szCs w:val="36"/>
          <w:lang w:eastAsia="it-IT"/>
        </w:rPr>
        <w:t>1. Terra legata a giuramento</w:t>
      </w:r>
    </w:p>
    <w:p w14:paraId="5B148B3F" w14:textId="77777777" w:rsidR="00B23C1A" w:rsidRPr="00B23C1A" w:rsidRDefault="00B23C1A" w:rsidP="001E738D">
      <w:pPr>
        <w:spacing w:line="240" w:lineRule="auto"/>
        <w:ind w:firstLine="284"/>
        <w:rPr>
          <w:rFonts w:eastAsia="Times New Roman" w:cstheme="minorHAnsi"/>
          <w:color w:val="E36C0A" w:themeColor="accent6" w:themeShade="BF"/>
          <w:sz w:val="36"/>
          <w:szCs w:val="36"/>
          <w:lang w:eastAsia="it-IT"/>
        </w:rPr>
      </w:pPr>
    </w:p>
    <w:p w14:paraId="3E2ED138" w14:textId="30E7F56B" w:rsidR="00B23C1A" w:rsidRDefault="00B23C1A" w:rsidP="001E738D">
      <w:pPr>
        <w:spacing w:line="240" w:lineRule="auto"/>
        <w:ind w:firstLine="284"/>
        <w:rPr>
          <w:rFonts w:eastAsia="Times New Roman" w:cstheme="minorHAnsi"/>
          <w:sz w:val="36"/>
          <w:szCs w:val="36"/>
          <w:lang w:eastAsia="it-IT"/>
        </w:rPr>
      </w:pPr>
      <w:r w:rsidRPr="002E6D21">
        <w:rPr>
          <w:rFonts w:eastAsia="Times New Roman" w:cstheme="minorHAnsi"/>
          <w:sz w:val="36"/>
          <w:szCs w:val="36"/>
          <w:lang w:eastAsia="it-IT"/>
        </w:rPr>
        <w:t>La promessa della terra è comunicata attraverso l’</w:t>
      </w:r>
      <w:proofErr w:type="spellStart"/>
      <w:r w:rsidRPr="002E6D21">
        <w:rPr>
          <w:rFonts w:eastAsia="Times New Roman" w:cstheme="minorHAnsi"/>
          <w:sz w:val="36"/>
          <w:szCs w:val="36"/>
          <w:lang w:eastAsia="it-IT"/>
        </w:rPr>
        <w:t>aterritorialità</w:t>
      </w:r>
      <w:proofErr w:type="spellEnd"/>
      <w:r w:rsidRPr="002E6D21">
        <w:rPr>
          <w:rFonts w:eastAsia="Times New Roman" w:cstheme="minorHAnsi"/>
          <w:sz w:val="36"/>
          <w:szCs w:val="36"/>
          <w:lang w:eastAsia="it-IT"/>
        </w:rPr>
        <w:t xml:space="preserve"> della parola. </w:t>
      </w:r>
      <w:r>
        <w:rPr>
          <w:rFonts w:eastAsia="Times New Roman" w:cstheme="minorHAnsi"/>
          <w:sz w:val="36"/>
          <w:szCs w:val="36"/>
          <w:lang w:eastAsia="it-IT"/>
        </w:rPr>
        <w:t>P</w:t>
      </w:r>
      <w:r w:rsidRPr="002E6D21">
        <w:rPr>
          <w:rFonts w:eastAsia="Times New Roman" w:cstheme="minorHAnsi"/>
          <w:sz w:val="36"/>
          <w:szCs w:val="36"/>
          <w:lang w:eastAsia="it-IT"/>
        </w:rPr>
        <w:t xml:space="preserve">er il popolo ebraico la terra non </w:t>
      </w:r>
      <w:r>
        <w:rPr>
          <w:rFonts w:eastAsia="Times New Roman" w:cstheme="minorHAnsi"/>
          <w:sz w:val="36"/>
          <w:szCs w:val="36"/>
          <w:lang w:eastAsia="it-IT"/>
        </w:rPr>
        <w:t xml:space="preserve">va pensata </w:t>
      </w:r>
      <w:r w:rsidRPr="002E6D21">
        <w:rPr>
          <w:rFonts w:eastAsia="Times New Roman" w:cstheme="minorHAnsi"/>
          <w:sz w:val="36"/>
          <w:szCs w:val="36"/>
          <w:lang w:eastAsia="it-IT"/>
        </w:rPr>
        <w:t xml:space="preserve">come terra madre. </w:t>
      </w:r>
    </w:p>
    <w:p w14:paraId="251D2950" w14:textId="55BC9942" w:rsidR="00B23C1A" w:rsidRPr="002E6D21" w:rsidRDefault="00B23C1A" w:rsidP="00932B8A">
      <w:pPr>
        <w:spacing w:line="240" w:lineRule="auto"/>
        <w:ind w:firstLine="284"/>
        <w:rPr>
          <w:rFonts w:eastAsia="Times New Roman" w:cstheme="minorHAnsi"/>
          <w:sz w:val="36"/>
          <w:szCs w:val="36"/>
          <w:lang w:eastAsia="it-IT"/>
        </w:rPr>
      </w:pPr>
      <w:r w:rsidRPr="002E6D21">
        <w:rPr>
          <w:rFonts w:eastAsia="Times New Roman" w:cstheme="minorHAnsi"/>
          <w:sz w:val="36"/>
          <w:szCs w:val="36"/>
          <w:lang w:eastAsia="it-IT"/>
        </w:rPr>
        <w:t xml:space="preserve">Per tutta la tradizione il popolo ebraico è nato in Egitto. </w:t>
      </w:r>
    </w:p>
    <w:p w14:paraId="6AC69EFA" w14:textId="77777777" w:rsidR="00B23C1A" w:rsidRPr="002E6D21" w:rsidRDefault="00B23C1A" w:rsidP="001E738D">
      <w:pPr>
        <w:spacing w:line="240" w:lineRule="auto"/>
        <w:ind w:firstLine="284"/>
        <w:rPr>
          <w:rFonts w:eastAsia="Times New Roman" w:cstheme="minorHAnsi"/>
          <w:sz w:val="36"/>
          <w:szCs w:val="36"/>
          <w:lang w:eastAsia="it-IT"/>
        </w:rPr>
      </w:pPr>
    </w:p>
    <w:p w14:paraId="60CDD082" w14:textId="1E651E2B" w:rsidR="00B23C1A" w:rsidRPr="002E6D21" w:rsidRDefault="00B23C1A" w:rsidP="00932B8A">
      <w:pPr>
        <w:spacing w:line="240" w:lineRule="auto"/>
        <w:ind w:firstLine="284"/>
        <w:rPr>
          <w:rFonts w:eastAsia="Times New Roman" w:cstheme="minorHAnsi"/>
          <w:sz w:val="36"/>
          <w:szCs w:val="36"/>
          <w:lang w:eastAsia="it-IT"/>
        </w:rPr>
      </w:pPr>
      <w:r>
        <w:rPr>
          <w:rFonts w:eastAsia="Times New Roman" w:cstheme="minorHAnsi"/>
          <w:sz w:val="36"/>
          <w:szCs w:val="36"/>
          <w:lang w:eastAsia="it-IT"/>
        </w:rPr>
        <w:t xml:space="preserve">All’origine </w:t>
      </w:r>
      <w:r w:rsidRPr="002E6D21">
        <w:rPr>
          <w:rFonts w:eastAsia="Times New Roman" w:cstheme="minorHAnsi"/>
          <w:sz w:val="36"/>
          <w:szCs w:val="36"/>
          <w:lang w:eastAsia="it-IT"/>
        </w:rPr>
        <w:t xml:space="preserve">occorre </w:t>
      </w:r>
      <w:r w:rsidRPr="00B63E5E">
        <w:rPr>
          <w:rFonts w:eastAsia="Times New Roman" w:cstheme="minorHAnsi"/>
          <w:b/>
          <w:bCs/>
          <w:color w:val="C00000"/>
          <w:sz w:val="36"/>
          <w:szCs w:val="36"/>
          <w:lang w:eastAsia="it-IT"/>
        </w:rPr>
        <w:t>entrare</w:t>
      </w:r>
      <w:r w:rsidRPr="002E6D21">
        <w:rPr>
          <w:rFonts w:eastAsia="Times New Roman" w:cstheme="minorHAnsi"/>
          <w:sz w:val="36"/>
          <w:szCs w:val="36"/>
          <w:lang w:eastAsia="it-IT"/>
        </w:rPr>
        <w:t xml:space="preserve"> non ritornare</w:t>
      </w:r>
      <w:r>
        <w:rPr>
          <w:rFonts w:eastAsia="Times New Roman" w:cstheme="minorHAnsi"/>
          <w:sz w:val="36"/>
          <w:szCs w:val="36"/>
          <w:lang w:eastAsia="it-IT"/>
        </w:rPr>
        <w:t xml:space="preserve"> alla terra</w:t>
      </w:r>
      <w:r w:rsidRPr="002E6D21">
        <w:rPr>
          <w:rFonts w:eastAsia="Times New Roman" w:cstheme="minorHAnsi"/>
          <w:sz w:val="36"/>
          <w:szCs w:val="36"/>
          <w:lang w:eastAsia="it-IT"/>
        </w:rPr>
        <w:t xml:space="preserve">. </w:t>
      </w:r>
      <w:r>
        <w:rPr>
          <w:rFonts w:eastAsia="Times New Roman" w:cstheme="minorHAnsi"/>
          <w:sz w:val="36"/>
          <w:szCs w:val="36"/>
          <w:lang w:eastAsia="it-IT"/>
        </w:rPr>
        <w:t xml:space="preserve">Invece di radici stanziali c’è </w:t>
      </w:r>
      <w:r w:rsidR="00932B8A">
        <w:rPr>
          <w:rFonts w:eastAsia="Times New Roman" w:cstheme="minorHAnsi"/>
          <w:sz w:val="36"/>
          <w:szCs w:val="36"/>
          <w:lang w:eastAsia="it-IT"/>
        </w:rPr>
        <w:t xml:space="preserve">un </w:t>
      </w:r>
      <w:r w:rsidRPr="002E6D21">
        <w:rPr>
          <w:rFonts w:eastAsia="Times New Roman" w:cstheme="minorHAnsi"/>
          <w:sz w:val="36"/>
          <w:szCs w:val="36"/>
          <w:lang w:eastAsia="it-IT"/>
        </w:rPr>
        <w:t xml:space="preserve">giuramento del Signore. I </w:t>
      </w:r>
      <w:proofErr w:type="gramStart"/>
      <w:r w:rsidRPr="002E6D21">
        <w:rPr>
          <w:rFonts w:eastAsia="Times New Roman" w:cstheme="minorHAnsi"/>
          <w:sz w:val="36"/>
          <w:szCs w:val="36"/>
          <w:lang w:eastAsia="it-IT"/>
        </w:rPr>
        <w:t xml:space="preserve">padri </w:t>
      </w:r>
      <w:r w:rsidR="00932B8A">
        <w:rPr>
          <w:rFonts w:eastAsia="Times New Roman" w:cstheme="minorHAnsi"/>
          <w:sz w:val="36"/>
          <w:szCs w:val="36"/>
          <w:lang w:eastAsia="it-IT"/>
        </w:rPr>
        <w:t xml:space="preserve"> (</w:t>
      </w:r>
      <w:proofErr w:type="gramEnd"/>
      <w:r w:rsidR="00932B8A">
        <w:rPr>
          <w:rFonts w:eastAsia="Times New Roman" w:cstheme="minorHAnsi"/>
          <w:sz w:val="36"/>
          <w:szCs w:val="36"/>
          <w:lang w:eastAsia="it-IT"/>
        </w:rPr>
        <w:t xml:space="preserve">patriarchi) </w:t>
      </w:r>
      <w:r w:rsidRPr="002E6D21">
        <w:rPr>
          <w:rFonts w:eastAsia="Times New Roman" w:cstheme="minorHAnsi"/>
          <w:sz w:val="36"/>
          <w:szCs w:val="36"/>
          <w:lang w:eastAsia="it-IT"/>
        </w:rPr>
        <w:t>sono coloro a cui è stato comunicato il giuramento non coloro che sono entrati nella terra</w:t>
      </w:r>
    </w:p>
    <w:p w14:paraId="52C4F673" w14:textId="77777777" w:rsidR="00B23C1A" w:rsidRPr="002E6D21" w:rsidRDefault="00B23C1A" w:rsidP="001E738D">
      <w:pPr>
        <w:spacing w:line="240" w:lineRule="auto"/>
        <w:ind w:firstLine="284"/>
        <w:rPr>
          <w:rStyle w:val="text-to-speech"/>
          <w:rFonts w:cstheme="minorHAnsi"/>
          <w:color w:val="111111"/>
          <w:sz w:val="36"/>
          <w:szCs w:val="36"/>
        </w:rPr>
      </w:pPr>
    </w:p>
    <w:p w14:paraId="692F70D8" w14:textId="77777777" w:rsidR="00B23C1A" w:rsidRPr="00021BCB" w:rsidRDefault="00B23C1A" w:rsidP="001E738D">
      <w:pPr>
        <w:spacing w:line="240" w:lineRule="auto"/>
        <w:ind w:firstLine="284"/>
        <w:rPr>
          <w:rStyle w:val="text-to-speech"/>
          <w:rFonts w:cstheme="minorHAnsi"/>
          <w:b/>
          <w:bCs/>
          <w:color w:val="E36C0A" w:themeColor="accent6" w:themeShade="BF"/>
          <w:sz w:val="36"/>
          <w:szCs w:val="36"/>
        </w:rPr>
      </w:pPr>
      <w:r w:rsidRPr="00021BCB">
        <w:rPr>
          <w:rStyle w:val="text-to-speech"/>
          <w:rFonts w:cstheme="minorHAnsi"/>
          <w:b/>
          <w:bCs/>
          <w:color w:val="E36C0A" w:themeColor="accent6" w:themeShade="BF"/>
          <w:sz w:val="36"/>
          <w:szCs w:val="36"/>
        </w:rPr>
        <w:t>Deuteronomio 26,1-3</w:t>
      </w:r>
    </w:p>
    <w:p w14:paraId="5C08EADB" w14:textId="77777777" w:rsidR="00B23C1A" w:rsidRPr="002E6D21" w:rsidRDefault="00B23C1A" w:rsidP="001E738D">
      <w:pPr>
        <w:spacing w:line="240" w:lineRule="auto"/>
        <w:ind w:firstLine="284"/>
        <w:rPr>
          <w:rStyle w:val="text-to-speech"/>
          <w:rFonts w:cstheme="minorHAnsi"/>
          <w:color w:val="111111"/>
          <w:sz w:val="36"/>
          <w:szCs w:val="36"/>
        </w:rPr>
      </w:pPr>
      <w:r w:rsidRPr="002E6D21">
        <w:rPr>
          <w:rStyle w:val="text-to-speech"/>
          <w:rFonts w:cstheme="minorHAnsi"/>
          <w:color w:val="111111"/>
          <w:sz w:val="36"/>
          <w:szCs w:val="36"/>
          <w:vertAlign w:val="superscript"/>
        </w:rPr>
        <w:t>1</w:t>
      </w:r>
      <w:r w:rsidRPr="002E6D21">
        <w:rPr>
          <w:rStyle w:val="text-to-speech"/>
          <w:rFonts w:cstheme="minorHAnsi"/>
          <w:color w:val="111111"/>
          <w:sz w:val="36"/>
          <w:szCs w:val="36"/>
        </w:rPr>
        <w:t xml:space="preserve">Quando sarai </w:t>
      </w:r>
      <w:r w:rsidRPr="00932B8A">
        <w:rPr>
          <w:rStyle w:val="text-to-speech"/>
          <w:rFonts w:cstheme="minorHAnsi"/>
          <w:color w:val="C00000"/>
          <w:sz w:val="36"/>
          <w:szCs w:val="36"/>
        </w:rPr>
        <w:t>entrato</w:t>
      </w:r>
      <w:r w:rsidRPr="002E6D21">
        <w:rPr>
          <w:rStyle w:val="text-to-speech"/>
          <w:rFonts w:cstheme="minorHAnsi"/>
          <w:color w:val="111111"/>
          <w:sz w:val="36"/>
          <w:szCs w:val="36"/>
        </w:rPr>
        <w:t xml:space="preserve"> nella terra che il Signore, tuo Dio ti dà in eredità e la possederai e là ti sarai stabilito</w:t>
      </w:r>
      <w:r w:rsidRPr="002E6D21">
        <w:rPr>
          <w:rStyle w:val="text-to-speech"/>
          <w:rFonts w:cstheme="minorHAnsi"/>
          <w:sz w:val="36"/>
          <w:szCs w:val="36"/>
        </w:rPr>
        <w:t>, </w:t>
      </w:r>
      <w:r w:rsidRPr="002E6D21">
        <w:rPr>
          <w:rStyle w:val="versenumber"/>
          <w:rFonts w:cstheme="minorHAnsi"/>
          <w:sz w:val="36"/>
          <w:szCs w:val="36"/>
          <w:vertAlign w:val="superscript"/>
        </w:rPr>
        <w:t>2</w:t>
      </w:r>
      <w:r w:rsidRPr="002E6D21">
        <w:rPr>
          <w:rStyle w:val="text-to-speech"/>
          <w:rFonts w:cstheme="minorHAnsi"/>
          <w:color w:val="111111"/>
          <w:sz w:val="36"/>
          <w:szCs w:val="36"/>
        </w:rPr>
        <w:t xml:space="preserve">prenderai le primizie di tutti i frutti del suolo da te raccolti nella terra che il Signore, tuo </w:t>
      </w:r>
      <w:r w:rsidRPr="002E6D21">
        <w:rPr>
          <w:rStyle w:val="text-to-speech"/>
          <w:rFonts w:cstheme="minorHAnsi"/>
          <w:color w:val="111111"/>
          <w:sz w:val="36"/>
          <w:szCs w:val="36"/>
        </w:rPr>
        <w:lastRenderedPageBreak/>
        <w:t>Dio, ti dà, le metterai in una cesta e andrai al luogo che il Signore, tuo Dio, avrà scelto per stabilirvi il suo nome. </w:t>
      </w:r>
      <w:r w:rsidRPr="002E6D21">
        <w:rPr>
          <w:rStyle w:val="versenumber"/>
          <w:rFonts w:cstheme="minorHAnsi"/>
          <w:sz w:val="36"/>
          <w:szCs w:val="36"/>
          <w:vertAlign w:val="superscript"/>
        </w:rPr>
        <w:t>3</w:t>
      </w:r>
      <w:r w:rsidRPr="002E6D21">
        <w:rPr>
          <w:rStyle w:val="text-to-speech"/>
          <w:rFonts w:cstheme="minorHAnsi"/>
          <w:color w:val="111111"/>
          <w:sz w:val="36"/>
          <w:szCs w:val="36"/>
        </w:rPr>
        <w:t xml:space="preserve">Ti presenterai al sacerdote in carica in quei giorni e gli dirai: «Io dichiaro oggi al Signore, tuo Dio, che sono entrato nella terra che </w:t>
      </w:r>
      <w:r w:rsidRPr="00B63E5E">
        <w:rPr>
          <w:rStyle w:val="text-to-speech"/>
          <w:rFonts w:cstheme="minorHAnsi"/>
          <w:color w:val="C00000"/>
          <w:sz w:val="36"/>
          <w:szCs w:val="36"/>
        </w:rPr>
        <w:t xml:space="preserve">il Signore ha giurato </w:t>
      </w:r>
      <w:r w:rsidRPr="002E6D21">
        <w:rPr>
          <w:rStyle w:val="text-to-speech"/>
          <w:rFonts w:cstheme="minorHAnsi"/>
          <w:color w:val="111111"/>
          <w:sz w:val="36"/>
          <w:szCs w:val="36"/>
        </w:rPr>
        <w:t>ai nostri padri di dare a noi». </w:t>
      </w:r>
      <w:r w:rsidRPr="002E6D21">
        <w:rPr>
          <w:rStyle w:val="versenumber"/>
          <w:rFonts w:cstheme="minorHAnsi"/>
          <w:sz w:val="36"/>
          <w:szCs w:val="36"/>
          <w:vertAlign w:val="superscript"/>
        </w:rPr>
        <w:t>4</w:t>
      </w:r>
      <w:r w:rsidRPr="002E6D21">
        <w:rPr>
          <w:rStyle w:val="text-to-speech"/>
          <w:rFonts w:cstheme="minorHAnsi"/>
          <w:color w:val="111111"/>
          <w:sz w:val="36"/>
          <w:szCs w:val="36"/>
        </w:rPr>
        <w:t>Il sacerdote prenderà la cesta dalle tue mani e la deporrà davanti all'altare del Signore, tuo Dio, </w:t>
      </w:r>
      <w:r w:rsidRPr="002E6D21">
        <w:rPr>
          <w:rStyle w:val="versenumber"/>
          <w:rFonts w:cstheme="minorHAnsi"/>
          <w:sz w:val="36"/>
          <w:szCs w:val="36"/>
          <w:vertAlign w:val="superscript"/>
        </w:rPr>
        <w:t>5</w:t>
      </w:r>
      <w:r w:rsidRPr="002E6D21">
        <w:rPr>
          <w:rStyle w:val="text-to-speech"/>
          <w:rFonts w:cstheme="minorHAnsi"/>
          <w:color w:val="111111"/>
          <w:sz w:val="36"/>
          <w:szCs w:val="36"/>
        </w:rPr>
        <w:t>e tu pronuncerai queste parole davanti al Signore, tuo Dio: “Mio padre era un Arameo errante…”</w:t>
      </w:r>
    </w:p>
    <w:p w14:paraId="5D26ABF9" w14:textId="77777777" w:rsidR="00B23C1A" w:rsidRPr="002E6D21" w:rsidRDefault="00B23C1A" w:rsidP="001E738D">
      <w:pPr>
        <w:spacing w:line="240" w:lineRule="auto"/>
        <w:ind w:firstLine="284"/>
        <w:rPr>
          <w:rFonts w:eastAsia="Times New Roman" w:cstheme="minorHAnsi"/>
          <w:sz w:val="36"/>
          <w:szCs w:val="36"/>
          <w:lang w:eastAsia="it-IT"/>
        </w:rPr>
      </w:pPr>
    </w:p>
    <w:p w14:paraId="3517240A" w14:textId="70C8F59E" w:rsidR="00B23C1A" w:rsidRPr="00B63E5E" w:rsidRDefault="00B63E5E" w:rsidP="001E738D">
      <w:pPr>
        <w:spacing w:line="240" w:lineRule="auto"/>
        <w:ind w:firstLine="284"/>
        <w:rPr>
          <w:rFonts w:eastAsia="Times New Roman" w:cstheme="minorHAnsi"/>
          <w:b/>
          <w:bCs/>
          <w:color w:val="E36C0A" w:themeColor="accent6" w:themeShade="BF"/>
          <w:sz w:val="36"/>
          <w:szCs w:val="36"/>
          <w:lang w:eastAsia="it-IT"/>
        </w:rPr>
      </w:pPr>
      <w:r w:rsidRPr="00B63E5E">
        <w:rPr>
          <w:rFonts w:eastAsia="Times New Roman" w:cstheme="minorHAnsi"/>
          <w:b/>
          <w:bCs/>
          <w:color w:val="E36C0A" w:themeColor="accent6" w:themeShade="BF"/>
          <w:sz w:val="36"/>
          <w:szCs w:val="36"/>
          <w:lang w:eastAsia="it-IT"/>
        </w:rPr>
        <w:t>2</w:t>
      </w:r>
      <w:r w:rsidR="00B23C1A" w:rsidRPr="00B63E5E">
        <w:rPr>
          <w:rFonts w:eastAsia="Times New Roman" w:cstheme="minorHAnsi"/>
          <w:b/>
          <w:bCs/>
          <w:color w:val="E36C0A" w:themeColor="accent6" w:themeShade="BF"/>
          <w:sz w:val="36"/>
          <w:szCs w:val="36"/>
          <w:lang w:eastAsia="it-IT"/>
        </w:rPr>
        <w:t>.2 Terra da conquistare</w:t>
      </w:r>
    </w:p>
    <w:p w14:paraId="53CE5ABD" w14:textId="77777777" w:rsidR="00B23C1A" w:rsidRPr="00B63E5E" w:rsidRDefault="00B23C1A" w:rsidP="001E738D">
      <w:pPr>
        <w:spacing w:line="240" w:lineRule="auto"/>
        <w:ind w:firstLine="284"/>
        <w:rPr>
          <w:rFonts w:eastAsia="Times New Roman" w:cstheme="minorHAnsi"/>
          <w:b/>
          <w:bCs/>
          <w:color w:val="E36C0A" w:themeColor="accent6" w:themeShade="BF"/>
          <w:sz w:val="36"/>
          <w:szCs w:val="36"/>
          <w:lang w:eastAsia="it-IT"/>
        </w:rPr>
      </w:pPr>
      <w:r w:rsidRPr="00B63E5E">
        <w:rPr>
          <w:rFonts w:eastAsia="Times New Roman" w:cstheme="minorHAnsi"/>
          <w:b/>
          <w:bCs/>
          <w:color w:val="E36C0A" w:themeColor="accent6" w:themeShade="BF"/>
          <w:sz w:val="36"/>
          <w:szCs w:val="36"/>
          <w:lang w:eastAsia="it-IT"/>
        </w:rPr>
        <w:t>Genesi 15, 18-21</w:t>
      </w:r>
    </w:p>
    <w:p w14:paraId="2E7BECF6" w14:textId="77777777" w:rsidR="00B23C1A" w:rsidRPr="002E6D21" w:rsidRDefault="00B23C1A" w:rsidP="001E738D">
      <w:pPr>
        <w:spacing w:line="240" w:lineRule="auto"/>
        <w:ind w:firstLine="284"/>
        <w:rPr>
          <w:rFonts w:eastAsia="Times New Roman" w:cstheme="minorHAnsi"/>
          <w:sz w:val="36"/>
          <w:szCs w:val="36"/>
          <w:lang w:eastAsia="it-IT"/>
        </w:rPr>
      </w:pPr>
      <w:r w:rsidRPr="002E6D21">
        <w:rPr>
          <w:rFonts w:eastAsia="Times New Roman" w:cstheme="minorHAnsi"/>
          <w:sz w:val="36"/>
          <w:szCs w:val="36"/>
          <w:lang w:eastAsia="it-IT"/>
        </w:rPr>
        <w:t>«In quel giorno il Signore concluse quest’alleanza con Abram:</w:t>
      </w:r>
    </w:p>
    <w:p w14:paraId="633E6D36" w14:textId="77777777" w:rsidR="00B23C1A" w:rsidRPr="002E6D21" w:rsidRDefault="00B23C1A" w:rsidP="001E738D">
      <w:pPr>
        <w:spacing w:line="240" w:lineRule="auto"/>
        <w:ind w:firstLine="284"/>
        <w:rPr>
          <w:rFonts w:eastAsia="Times New Roman" w:cstheme="minorHAnsi"/>
          <w:sz w:val="36"/>
          <w:szCs w:val="36"/>
          <w:lang w:eastAsia="it-IT"/>
        </w:rPr>
      </w:pPr>
      <w:r w:rsidRPr="002E6D21">
        <w:rPr>
          <w:rFonts w:eastAsia="Times New Roman" w:cstheme="minorHAnsi"/>
          <w:sz w:val="36"/>
          <w:szCs w:val="36"/>
          <w:lang w:eastAsia="it-IT"/>
        </w:rPr>
        <w:t>“alla tua discendenza</w:t>
      </w:r>
    </w:p>
    <w:p w14:paraId="6CF09445" w14:textId="77777777" w:rsidR="00B23C1A" w:rsidRPr="002E6D21" w:rsidRDefault="00B23C1A" w:rsidP="001E738D">
      <w:pPr>
        <w:spacing w:line="240" w:lineRule="auto"/>
        <w:ind w:firstLine="284"/>
        <w:rPr>
          <w:rFonts w:eastAsia="Times New Roman" w:cstheme="minorHAnsi"/>
          <w:sz w:val="36"/>
          <w:szCs w:val="36"/>
          <w:lang w:eastAsia="it-IT"/>
        </w:rPr>
      </w:pPr>
      <w:r w:rsidRPr="002E6D21">
        <w:rPr>
          <w:rFonts w:eastAsia="Times New Roman" w:cstheme="minorHAnsi"/>
          <w:sz w:val="36"/>
          <w:szCs w:val="36"/>
          <w:lang w:eastAsia="it-IT"/>
        </w:rPr>
        <w:t>ti do questa terra,</w:t>
      </w:r>
    </w:p>
    <w:p w14:paraId="64750B3B" w14:textId="77777777" w:rsidR="00B23C1A" w:rsidRPr="002E6D21" w:rsidRDefault="00B23C1A" w:rsidP="001E738D">
      <w:pPr>
        <w:spacing w:line="240" w:lineRule="auto"/>
        <w:ind w:firstLine="284"/>
        <w:rPr>
          <w:rFonts w:eastAsia="Times New Roman" w:cstheme="minorHAnsi"/>
          <w:sz w:val="36"/>
          <w:szCs w:val="36"/>
          <w:lang w:eastAsia="it-IT"/>
        </w:rPr>
      </w:pPr>
      <w:r w:rsidRPr="002E6D21">
        <w:rPr>
          <w:rFonts w:eastAsia="Times New Roman" w:cstheme="minorHAnsi"/>
          <w:sz w:val="36"/>
          <w:szCs w:val="36"/>
          <w:lang w:eastAsia="it-IT"/>
        </w:rPr>
        <w:t>dal f</w:t>
      </w:r>
      <w:r>
        <w:rPr>
          <w:rFonts w:eastAsia="Times New Roman" w:cstheme="minorHAnsi"/>
          <w:sz w:val="36"/>
          <w:szCs w:val="36"/>
          <w:lang w:eastAsia="it-IT"/>
        </w:rPr>
        <w:t>i</w:t>
      </w:r>
      <w:r w:rsidRPr="002E6D21">
        <w:rPr>
          <w:rFonts w:eastAsia="Times New Roman" w:cstheme="minorHAnsi"/>
          <w:sz w:val="36"/>
          <w:szCs w:val="36"/>
          <w:lang w:eastAsia="it-IT"/>
        </w:rPr>
        <w:t>ume d’Egitto</w:t>
      </w:r>
    </w:p>
    <w:p w14:paraId="793CD37C" w14:textId="77777777" w:rsidR="00B23C1A" w:rsidRPr="002E6D21" w:rsidRDefault="00B23C1A" w:rsidP="001E738D">
      <w:pPr>
        <w:spacing w:line="240" w:lineRule="auto"/>
        <w:ind w:firstLine="284"/>
        <w:rPr>
          <w:rFonts w:eastAsia="Times New Roman" w:cstheme="minorHAnsi"/>
          <w:sz w:val="36"/>
          <w:szCs w:val="36"/>
          <w:lang w:eastAsia="it-IT"/>
        </w:rPr>
      </w:pPr>
      <w:r w:rsidRPr="002E6D21">
        <w:rPr>
          <w:rFonts w:eastAsia="Times New Roman" w:cstheme="minorHAnsi"/>
          <w:sz w:val="36"/>
          <w:szCs w:val="36"/>
          <w:lang w:eastAsia="it-IT"/>
        </w:rPr>
        <w:t>al grande fiume, il fiume Eufrate”.</w:t>
      </w:r>
    </w:p>
    <w:p w14:paraId="2D8A4252" w14:textId="77777777" w:rsidR="00B23C1A" w:rsidRPr="002E6D21" w:rsidRDefault="00B23C1A" w:rsidP="001E738D">
      <w:pPr>
        <w:spacing w:line="240" w:lineRule="auto"/>
        <w:ind w:firstLine="284"/>
        <w:rPr>
          <w:rStyle w:val="text-to-speech"/>
          <w:rFonts w:cstheme="minorHAnsi"/>
          <w:color w:val="111111"/>
          <w:sz w:val="36"/>
          <w:szCs w:val="36"/>
        </w:rPr>
      </w:pPr>
      <w:r w:rsidRPr="002E6D21">
        <w:rPr>
          <w:rFonts w:eastAsia="Times New Roman" w:cstheme="minorHAnsi"/>
          <w:sz w:val="36"/>
          <w:szCs w:val="36"/>
          <w:lang w:eastAsia="it-IT"/>
        </w:rPr>
        <w:t xml:space="preserve">La terra dove abitano i </w:t>
      </w:r>
      <w:proofErr w:type="spellStart"/>
      <w:r w:rsidRPr="002E6D21">
        <w:rPr>
          <w:rFonts w:eastAsia="Times New Roman" w:cstheme="minorHAnsi"/>
          <w:sz w:val="36"/>
          <w:szCs w:val="36"/>
          <w:lang w:eastAsia="it-IT"/>
        </w:rPr>
        <w:t>Keniti</w:t>
      </w:r>
      <w:proofErr w:type="spellEnd"/>
      <w:r w:rsidRPr="002E6D21">
        <w:rPr>
          <w:rFonts w:eastAsia="Times New Roman" w:cstheme="minorHAnsi"/>
          <w:sz w:val="36"/>
          <w:szCs w:val="36"/>
          <w:lang w:eastAsia="it-IT"/>
        </w:rPr>
        <w:t xml:space="preserve">, i </w:t>
      </w:r>
      <w:proofErr w:type="spellStart"/>
      <w:r w:rsidRPr="002E6D21">
        <w:rPr>
          <w:rStyle w:val="text-to-speech"/>
          <w:rFonts w:cstheme="minorHAnsi"/>
          <w:color w:val="111111"/>
          <w:sz w:val="36"/>
          <w:szCs w:val="36"/>
        </w:rPr>
        <w:t>Kenizziti</w:t>
      </w:r>
      <w:proofErr w:type="spellEnd"/>
      <w:r w:rsidRPr="002E6D21">
        <w:rPr>
          <w:rStyle w:val="text-to-speech"/>
          <w:rFonts w:cstheme="minorHAnsi"/>
          <w:color w:val="111111"/>
          <w:sz w:val="36"/>
          <w:szCs w:val="36"/>
        </w:rPr>
        <w:t xml:space="preserve">, i </w:t>
      </w:r>
      <w:proofErr w:type="spellStart"/>
      <w:r w:rsidRPr="002E6D21">
        <w:rPr>
          <w:rStyle w:val="text-to-speech"/>
          <w:rFonts w:cstheme="minorHAnsi"/>
          <w:color w:val="111111"/>
          <w:sz w:val="36"/>
          <w:szCs w:val="36"/>
        </w:rPr>
        <w:t>Kadmoniti</w:t>
      </w:r>
      <w:proofErr w:type="spellEnd"/>
      <w:r w:rsidRPr="002E6D21">
        <w:rPr>
          <w:rStyle w:val="text-to-speech"/>
          <w:rFonts w:cstheme="minorHAnsi"/>
          <w:color w:val="111111"/>
          <w:sz w:val="36"/>
          <w:szCs w:val="36"/>
        </w:rPr>
        <w:t>, </w:t>
      </w:r>
      <w:r w:rsidRPr="002E6D21">
        <w:rPr>
          <w:rStyle w:val="versenumber"/>
          <w:rFonts w:cstheme="minorHAnsi"/>
          <w:sz w:val="36"/>
          <w:szCs w:val="36"/>
          <w:vertAlign w:val="superscript"/>
        </w:rPr>
        <w:t>2</w:t>
      </w:r>
      <w:r w:rsidRPr="002E6D21">
        <w:rPr>
          <w:rStyle w:val="versenumber"/>
          <w:rFonts w:cstheme="minorHAnsi"/>
          <w:color w:val="A6122D"/>
          <w:sz w:val="36"/>
          <w:szCs w:val="36"/>
          <w:vertAlign w:val="superscript"/>
        </w:rPr>
        <w:t>0</w:t>
      </w:r>
      <w:r w:rsidRPr="002E6D21">
        <w:rPr>
          <w:rStyle w:val="text-to-speech"/>
          <w:rFonts w:cstheme="minorHAnsi"/>
          <w:color w:val="111111"/>
          <w:sz w:val="36"/>
          <w:szCs w:val="36"/>
        </w:rPr>
        <w:t xml:space="preserve">gli Ittiti, i </w:t>
      </w:r>
      <w:proofErr w:type="spellStart"/>
      <w:r w:rsidRPr="002E6D21">
        <w:rPr>
          <w:rStyle w:val="text-to-speech"/>
          <w:rFonts w:cstheme="minorHAnsi"/>
          <w:color w:val="111111"/>
          <w:sz w:val="36"/>
          <w:szCs w:val="36"/>
        </w:rPr>
        <w:t>Perizziti</w:t>
      </w:r>
      <w:proofErr w:type="spellEnd"/>
      <w:r w:rsidRPr="002E6D21">
        <w:rPr>
          <w:rStyle w:val="text-to-speech"/>
          <w:rFonts w:cstheme="minorHAnsi"/>
          <w:color w:val="111111"/>
          <w:sz w:val="36"/>
          <w:szCs w:val="36"/>
        </w:rPr>
        <w:t xml:space="preserve">, i </w:t>
      </w:r>
      <w:proofErr w:type="spellStart"/>
      <w:r w:rsidRPr="002E6D21">
        <w:rPr>
          <w:rStyle w:val="text-to-speech"/>
          <w:rFonts w:cstheme="minorHAnsi"/>
          <w:color w:val="111111"/>
          <w:sz w:val="36"/>
          <w:szCs w:val="36"/>
        </w:rPr>
        <w:t>Refaìm</w:t>
      </w:r>
      <w:proofErr w:type="spellEnd"/>
      <w:r w:rsidRPr="002E6D21">
        <w:rPr>
          <w:rStyle w:val="text-to-speech"/>
          <w:rFonts w:cstheme="minorHAnsi"/>
          <w:color w:val="111111"/>
          <w:sz w:val="36"/>
          <w:szCs w:val="36"/>
        </w:rPr>
        <w:t>, </w:t>
      </w:r>
      <w:r w:rsidRPr="002E6D21">
        <w:rPr>
          <w:rStyle w:val="versenumber"/>
          <w:rFonts w:cstheme="minorHAnsi"/>
          <w:color w:val="A6122D"/>
          <w:sz w:val="36"/>
          <w:szCs w:val="36"/>
          <w:vertAlign w:val="superscript"/>
        </w:rPr>
        <w:t>21</w:t>
      </w:r>
      <w:r w:rsidRPr="002E6D21">
        <w:rPr>
          <w:rStyle w:val="text-to-speech"/>
          <w:rFonts w:cstheme="minorHAnsi"/>
          <w:color w:val="111111"/>
          <w:sz w:val="36"/>
          <w:szCs w:val="36"/>
        </w:rPr>
        <w:t xml:space="preserve">gli Amorrei, i Cananei, i </w:t>
      </w:r>
      <w:proofErr w:type="spellStart"/>
      <w:r w:rsidRPr="002E6D21">
        <w:rPr>
          <w:rStyle w:val="text-to-speech"/>
          <w:rFonts w:cstheme="minorHAnsi"/>
          <w:color w:val="111111"/>
          <w:sz w:val="36"/>
          <w:szCs w:val="36"/>
        </w:rPr>
        <w:t>Gergesei</w:t>
      </w:r>
      <w:proofErr w:type="spellEnd"/>
      <w:r w:rsidRPr="002E6D21">
        <w:rPr>
          <w:rStyle w:val="text-to-speech"/>
          <w:rFonts w:cstheme="minorHAnsi"/>
          <w:color w:val="111111"/>
          <w:sz w:val="36"/>
          <w:szCs w:val="36"/>
        </w:rPr>
        <w:t xml:space="preserve"> e i Gebusei"</w:t>
      </w:r>
      <w:r>
        <w:rPr>
          <w:rStyle w:val="text-to-speech"/>
          <w:rFonts w:cstheme="minorHAnsi"/>
          <w:color w:val="111111"/>
          <w:sz w:val="36"/>
          <w:szCs w:val="36"/>
        </w:rPr>
        <w:t>»</w:t>
      </w:r>
      <w:r w:rsidRPr="002E6D21">
        <w:rPr>
          <w:rStyle w:val="text-to-speech"/>
          <w:rFonts w:cstheme="minorHAnsi"/>
          <w:color w:val="111111"/>
          <w:sz w:val="36"/>
          <w:szCs w:val="36"/>
        </w:rPr>
        <w:t>.</w:t>
      </w:r>
    </w:p>
    <w:p w14:paraId="2C1F0A73" w14:textId="77777777" w:rsidR="00B23C1A" w:rsidRPr="002E6D21" w:rsidRDefault="00B23C1A" w:rsidP="001E738D">
      <w:pPr>
        <w:spacing w:line="240" w:lineRule="auto"/>
        <w:ind w:firstLine="284"/>
        <w:rPr>
          <w:rStyle w:val="text-to-speech"/>
          <w:rFonts w:cstheme="minorHAnsi"/>
          <w:color w:val="111111"/>
          <w:sz w:val="36"/>
          <w:szCs w:val="36"/>
        </w:rPr>
      </w:pPr>
    </w:p>
    <w:p w14:paraId="3DE09C45" w14:textId="77777777" w:rsidR="00B23C1A" w:rsidRDefault="00B23C1A" w:rsidP="001E738D">
      <w:pPr>
        <w:spacing w:line="240" w:lineRule="auto"/>
        <w:rPr>
          <w:rStyle w:val="text-to-speech"/>
          <w:rFonts w:cstheme="minorHAnsi"/>
          <w:color w:val="111111"/>
          <w:sz w:val="36"/>
          <w:szCs w:val="36"/>
        </w:rPr>
      </w:pPr>
      <w:r>
        <w:rPr>
          <w:rStyle w:val="text-to-speech"/>
          <w:rFonts w:cstheme="minorHAnsi"/>
          <w:color w:val="111111"/>
          <w:sz w:val="36"/>
          <w:szCs w:val="36"/>
        </w:rPr>
        <w:t xml:space="preserve">    </w:t>
      </w:r>
      <w:r w:rsidRPr="002E6D21">
        <w:rPr>
          <w:rStyle w:val="text-to-speech"/>
          <w:rFonts w:cstheme="minorHAnsi"/>
          <w:color w:val="111111"/>
          <w:sz w:val="36"/>
          <w:szCs w:val="36"/>
        </w:rPr>
        <w:t xml:space="preserve">Il fatto che la terra non sia terra madre </w:t>
      </w:r>
      <w:r>
        <w:rPr>
          <w:rStyle w:val="text-to-speech"/>
          <w:rFonts w:cstheme="minorHAnsi"/>
          <w:color w:val="111111"/>
          <w:sz w:val="36"/>
          <w:szCs w:val="36"/>
        </w:rPr>
        <w:t>bensì</w:t>
      </w:r>
      <w:r w:rsidRPr="002E6D21">
        <w:rPr>
          <w:rStyle w:val="text-to-speech"/>
          <w:rFonts w:cstheme="minorHAnsi"/>
          <w:color w:val="111111"/>
          <w:sz w:val="36"/>
          <w:szCs w:val="36"/>
        </w:rPr>
        <w:t xml:space="preserve"> terra “giurata”</w:t>
      </w:r>
      <w:r>
        <w:rPr>
          <w:rStyle w:val="text-to-speech"/>
          <w:rFonts w:cstheme="minorHAnsi"/>
          <w:color w:val="111111"/>
          <w:sz w:val="36"/>
          <w:szCs w:val="36"/>
        </w:rPr>
        <w:t xml:space="preserve"> e</w:t>
      </w:r>
      <w:r w:rsidRPr="002E6D21">
        <w:rPr>
          <w:rStyle w:val="text-to-speech"/>
          <w:rFonts w:cstheme="minorHAnsi"/>
          <w:color w:val="111111"/>
          <w:sz w:val="36"/>
          <w:szCs w:val="36"/>
        </w:rPr>
        <w:t xml:space="preserve"> </w:t>
      </w:r>
      <w:r>
        <w:rPr>
          <w:rStyle w:val="text-to-speech"/>
          <w:rFonts w:cstheme="minorHAnsi"/>
          <w:color w:val="111111"/>
          <w:sz w:val="36"/>
          <w:szCs w:val="36"/>
        </w:rPr>
        <w:t>“</w:t>
      </w:r>
      <w:r w:rsidRPr="002E6D21">
        <w:rPr>
          <w:rStyle w:val="text-to-speech"/>
          <w:rFonts w:cstheme="minorHAnsi"/>
          <w:color w:val="111111"/>
          <w:sz w:val="36"/>
          <w:szCs w:val="36"/>
        </w:rPr>
        <w:t>data” a un popolo che si trova altrove</w:t>
      </w:r>
      <w:r>
        <w:rPr>
          <w:rStyle w:val="text-to-speech"/>
          <w:rFonts w:cstheme="minorHAnsi"/>
          <w:color w:val="111111"/>
          <w:sz w:val="36"/>
          <w:szCs w:val="36"/>
        </w:rPr>
        <w:t xml:space="preserve"> («alla tua discendenza») </w:t>
      </w:r>
      <w:r w:rsidRPr="002E6D21">
        <w:rPr>
          <w:rStyle w:val="text-to-speech"/>
          <w:rFonts w:cstheme="minorHAnsi"/>
          <w:color w:val="111111"/>
          <w:sz w:val="36"/>
          <w:szCs w:val="36"/>
        </w:rPr>
        <w:t>significa, dare come eredità una terra in precedenza abitata da altri.  La terra è da conquistare.</w:t>
      </w:r>
    </w:p>
    <w:p w14:paraId="77DC8634" w14:textId="77777777" w:rsidR="00B66A5F" w:rsidRPr="002E6D21" w:rsidRDefault="00B66A5F" w:rsidP="001E738D">
      <w:pPr>
        <w:spacing w:line="240" w:lineRule="auto"/>
        <w:rPr>
          <w:rStyle w:val="text-to-speech"/>
          <w:rFonts w:cstheme="minorHAnsi"/>
          <w:color w:val="111111"/>
          <w:sz w:val="36"/>
          <w:szCs w:val="36"/>
        </w:rPr>
      </w:pPr>
    </w:p>
    <w:p w14:paraId="6CD7C946" w14:textId="77777777" w:rsidR="00B23C1A" w:rsidRDefault="00B23C1A" w:rsidP="001E738D">
      <w:pPr>
        <w:spacing w:line="240" w:lineRule="auto"/>
        <w:ind w:firstLine="284"/>
        <w:contextualSpacing/>
        <w:rPr>
          <w:rStyle w:val="text-to-speech"/>
          <w:rFonts w:cstheme="minorHAnsi"/>
          <w:color w:val="111111"/>
          <w:sz w:val="36"/>
          <w:szCs w:val="36"/>
        </w:rPr>
      </w:pPr>
      <w:r w:rsidRPr="002E6D21">
        <w:rPr>
          <w:rStyle w:val="text-to-speech"/>
          <w:rFonts w:cstheme="minorHAnsi"/>
          <w:color w:val="111111"/>
          <w:sz w:val="36"/>
          <w:szCs w:val="36"/>
        </w:rPr>
        <w:lastRenderedPageBreak/>
        <w:t>Fa parte della narrazione biblica - non de</w:t>
      </w:r>
      <w:r>
        <w:rPr>
          <w:rStyle w:val="text-to-speech"/>
          <w:rFonts w:cstheme="minorHAnsi"/>
          <w:color w:val="111111"/>
          <w:sz w:val="36"/>
          <w:szCs w:val="36"/>
        </w:rPr>
        <w:t xml:space="preserve">gli accadimenti ricostruibili storicamente </w:t>
      </w:r>
      <w:r w:rsidRPr="002E6D21">
        <w:rPr>
          <w:rStyle w:val="text-to-speech"/>
          <w:rFonts w:cstheme="minorHAnsi"/>
          <w:color w:val="111111"/>
          <w:sz w:val="36"/>
          <w:szCs w:val="36"/>
        </w:rPr>
        <w:t>–</w:t>
      </w:r>
      <w:r>
        <w:rPr>
          <w:rStyle w:val="text-to-speech"/>
          <w:rFonts w:cstheme="minorHAnsi"/>
          <w:color w:val="111111"/>
          <w:sz w:val="36"/>
          <w:szCs w:val="36"/>
        </w:rPr>
        <w:t xml:space="preserve"> </w:t>
      </w:r>
      <w:r w:rsidRPr="002E6D21">
        <w:rPr>
          <w:rStyle w:val="text-to-speech"/>
          <w:rFonts w:cstheme="minorHAnsi"/>
          <w:color w:val="111111"/>
          <w:sz w:val="36"/>
          <w:szCs w:val="36"/>
        </w:rPr>
        <w:t>essere chiamati a cacciare/sterminare</w:t>
      </w:r>
      <w:r>
        <w:rPr>
          <w:rStyle w:val="text-to-speech"/>
          <w:rFonts w:cstheme="minorHAnsi"/>
          <w:color w:val="111111"/>
          <w:sz w:val="36"/>
          <w:szCs w:val="36"/>
        </w:rPr>
        <w:t xml:space="preserve"> (</w:t>
      </w:r>
      <w:proofErr w:type="spellStart"/>
      <w:r w:rsidRPr="00534F08">
        <w:rPr>
          <w:rStyle w:val="text-to-speech"/>
          <w:rFonts w:cstheme="minorHAnsi"/>
          <w:i/>
          <w:iCs/>
          <w:color w:val="111111"/>
          <w:sz w:val="36"/>
          <w:szCs w:val="36"/>
        </w:rPr>
        <w:t>cherem</w:t>
      </w:r>
      <w:proofErr w:type="spellEnd"/>
      <w:r>
        <w:rPr>
          <w:rStyle w:val="text-to-speech"/>
          <w:rFonts w:cstheme="minorHAnsi"/>
          <w:color w:val="111111"/>
          <w:sz w:val="36"/>
          <w:szCs w:val="36"/>
        </w:rPr>
        <w:t>)</w:t>
      </w:r>
      <w:r w:rsidRPr="00534F08">
        <w:rPr>
          <w:rStyle w:val="text-to-speech"/>
          <w:rFonts w:cstheme="minorHAnsi"/>
          <w:color w:val="111111"/>
          <w:sz w:val="36"/>
          <w:szCs w:val="36"/>
        </w:rPr>
        <w:t>i</w:t>
      </w:r>
      <w:r w:rsidRPr="002E6D21">
        <w:rPr>
          <w:rStyle w:val="text-to-speech"/>
          <w:rFonts w:cstheme="minorHAnsi"/>
          <w:color w:val="111111"/>
          <w:sz w:val="36"/>
          <w:szCs w:val="36"/>
        </w:rPr>
        <w:t xml:space="preserve"> </w:t>
      </w:r>
      <w:r>
        <w:rPr>
          <w:rStyle w:val="text-to-speech"/>
          <w:rFonts w:cstheme="minorHAnsi"/>
          <w:color w:val="111111"/>
          <w:sz w:val="36"/>
          <w:szCs w:val="36"/>
        </w:rPr>
        <w:t xml:space="preserve">sette </w:t>
      </w:r>
      <w:r w:rsidRPr="002E6D21">
        <w:rPr>
          <w:rStyle w:val="text-to-speech"/>
          <w:rFonts w:cstheme="minorHAnsi"/>
          <w:color w:val="111111"/>
          <w:sz w:val="36"/>
          <w:szCs w:val="36"/>
        </w:rPr>
        <w:t xml:space="preserve">popoli </w:t>
      </w:r>
      <w:r>
        <w:rPr>
          <w:rStyle w:val="text-to-speech"/>
          <w:rFonts w:cstheme="minorHAnsi"/>
          <w:color w:val="111111"/>
          <w:sz w:val="36"/>
          <w:szCs w:val="36"/>
        </w:rPr>
        <w:t xml:space="preserve">che </w:t>
      </w:r>
      <w:r w:rsidRPr="002E6D21">
        <w:rPr>
          <w:rStyle w:val="text-to-speech"/>
          <w:rFonts w:cstheme="minorHAnsi"/>
          <w:color w:val="111111"/>
          <w:sz w:val="36"/>
          <w:szCs w:val="36"/>
        </w:rPr>
        <w:t>abitano</w:t>
      </w:r>
      <w:r>
        <w:rPr>
          <w:rStyle w:val="text-to-speech"/>
          <w:rFonts w:cstheme="minorHAnsi"/>
          <w:color w:val="111111"/>
          <w:sz w:val="36"/>
          <w:szCs w:val="36"/>
        </w:rPr>
        <w:t xml:space="preserve"> la terra.</w:t>
      </w:r>
    </w:p>
    <w:p w14:paraId="2884E4AF" w14:textId="77777777" w:rsidR="00B66A5F" w:rsidRDefault="00B66A5F" w:rsidP="001E738D">
      <w:pPr>
        <w:spacing w:line="240" w:lineRule="auto"/>
        <w:ind w:firstLine="284"/>
        <w:rPr>
          <w:rStyle w:val="text-to-speech"/>
          <w:rFonts w:cstheme="minorHAnsi"/>
          <w:b/>
          <w:bCs/>
          <w:color w:val="E36C0A" w:themeColor="accent6" w:themeShade="BF"/>
          <w:sz w:val="36"/>
          <w:szCs w:val="36"/>
        </w:rPr>
      </w:pPr>
    </w:p>
    <w:p w14:paraId="4FCA6178" w14:textId="63D2C964" w:rsidR="00B66A5F" w:rsidRPr="00B66A5F" w:rsidRDefault="00B66A5F" w:rsidP="001E738D">
      <w:pPr>
        <w:spacing w:line="240" w:lineRule="auto"/>
        <w:ind w:firstLine="284"/>
        <w:rPr>
          <w:rStyle w:val="text-to-speech"/>
          <w:rFonts w:cstheme="minorHAnsi"/>
          <w:b/>
          <w:bCs/>
          <w:color w:val="E36C0A" w:themeColor="accent6" w:themeShade="BF"/>
          <w:sz w:val="36"/>
          <w:szCs w:val="36"/>
        </w:rPr>
      </w:pPr>
      <w:r w:rsidRPr="00B66A5F">
        <w:rPr>
          <w:rStyle w:val="text-to-speech"/>
          <w:rFonts w:cstheme="minorHAnsi"/>
          <w:b/>
          <w:bCs/>
          <w:color w:val="E36C0A" w:themeColor="accent6" w:themeShade="BF"/>
          <w:sz w:val="36"/>
          <w:szCs w:val="36"/>
        </w:rPr>
        <w:t>Deuteronomio 7</w:t>
      </w:r>
    </w:p>
    <w:p w14:paraId="220A1BE0" w14:textId="77777777" w:rsidR="00B66A5F" w:rsidRPr="002E6D21" w:rsidRDefault="00B66A5F" w:rsidP="001E738D">
      <w:pPr>
        <w:spacing w:line="240" w:lineRule="auto"/>
        <w:ind w:firstLine="284"/>
        <w:rPr>
          <w:rStyle w:val="text-to-speech"/>
          <w:rFonts w:cstheme="minorHAnsi"/>
          <w:color w:val="111111"/>
          <w:sz w:val="36"/>
          <w:szCs w:val="36"/>
        </w:rPr>
      </w:pPr>
      <w:r w:rsidRPr="002E6D21">
        <w:rPr>
          <w:rStyle w:val="text-to-speech"/>
          <w:rFonts w:cstheme="minorHAnsi"/>
          <w:color w:val="111111"/>
          <w:sz w:val="36"/>
          <w:szCs w:val="36"/>
          <w:vertAlign w:val="superscript"/>
        </w:rPr>
        <w:t>1</w:t>
      </w:r>
      <w:r w:rsidRPr="002E6D21">
        <w:rPr>
          <w:rStyle w:val="text-to-speech"/>
          <w:rFonts w:cstheme="minorHAnsi"/>
          <w:color w:val="111111"/>
          <w:sz w:val="36"/>
          <w:szCs w:val="36"/>
        </w:rPr>
        <w:t xml:space="preserve">Quando il Signore, tuo Dio, ti avrà introdotto nella terra in cui stai per entrare per prenderne possesso e avrà scacciato davanti a te molte nazioni: gli Ittiti, i </w:t>
      </w:r>
      <w:proofErr w:type="spellStart"/>
      <w:r w:rsidRPr="002E6D21">
        <w:rPr>
          <w:rStyle w:val="text-to-speech"/>
          <w:rFonts w:cstheme="minorHAnsi"/>
          <w:color w:val="111111"/>
          <w:sz w:val="36"/>
          <w:szCs w:val="36"/>
        </w:rPr>
        <w:t>Gergesei</w:t>
      </w:r>
      <w:proofErr w:type="spellEnd"/>
      <w:r w:rsidRPr="002E6D21">
        <w:rPr>
          <w:rStyle w:val="text-to-speech"/>
          <w:rFonts w:cstheme="minorHAnsi"/>
          <w:color w:val="111111"/>
          <w:sz w:val="36"/>
          <w:szCs w:val="36"/>
        </w:rPr>
        <w:t xml:space="preserve">, gli Amorrei, i Cananei, i </w:t>
      </w:r>
      <w:proofErr w:type="spellStart"/>
      <w:r w:rsidRPr="002E6D21">
        <w:rPr>
          <w:rStyle w:val="text-to-speech"/>
          <w:rFonts w:cstheme="minorHAnsi"/>
          <w:color w:val="111111"/>
          <w:sz w:val="36"/>
          <w:szCs w:val="36"/>
        </w:rPr>
        <w:t>Perizziti</w:t>
      </w:r>
      <w:proofErr w:type="spellEnd"/>
      <w:r w:rsidRPr="002E6D21">
        <w:rPr>
          <w:rStyle w:val="text-to-speech"/>
          <w:rFonts w:cstheme="minorHAnsi"/>
          <w:color w:val="111111"/>
          <w:sz w:val="36"/>
          <w:szCs w:val="36"/>
        </w:rPr>
        <w:t xml:space="preserve">, gli </w:t>
      </w:r>
      <w:proofErr w:type="spellStart"/>
      <w:r w:rsidRPr="002E6D21">
        <w:rPr>
          <w:rStyle w:val="text-to-speech"/>
          <w:rFonts w:cstheme="minorHAnsi"/>
          <w:color w:val="111111"/>
          <w:sz w:val="36"/>
          <w:szCs w:val="36"/>
        </w:rPr>
        <w:t>Evei</w:t>
      </w:r>
      <w:proofErr w:type="spellEnd"/>
      <w:r w:rsidRPr="002E6D21">
        <w:rPr>
          <w:rStyle w:val="text-to-speech"/>
          <w:rFonts w:cstheme="minorHAnsi"/>
          <w:color w:val="111111"/>
          <w:sz w:val="36"/>
          <w:szCs w:val="36"/>
        </w:rPr>
        <w:t xml:space="preserve"> e i Gebusei, </w:t>
      </w:r>
      <w:r w:rsidRPr="00932B8A">
        <w:rPr>
          <w:rStyle w:val="text-to-speech"/>
          <w:rFonts w:cstheme="minorHAnsi"/>
          <w:color w:val="C00000"/>
          <w:sz w:val="36"/>
          <w:szCs w:val="36"/>
        </w:rPr>
        <w:t>sette nazioni più grandi e più potenti di te</w:t>
      </w:r>
      <w:r w:rsidRPr="002E6D21">
        <w:rPr>
          <w:rStyle w:val="text-to-speech"/>
          <w:rFonts w:cstheme="minorHAnsi"/>
          <w:color w:val="111111"/>
          <w:sz w:val="36"/>
          <w:szCs w:val="36"/>
        </w:rPr>
        <w:t>, </w:t>
      </w:r>
      <w:r w:rsidRPr="007A13DA">
        <w:rPr>
          <w:rStyle w:val="versenumber"/>
          <w:rFonts w:cstheme="minorHAnsi"/>
          <w:sz w:val="36"/>
          <w:szCs w:val="36"/>
          <w:vertAlign w:val="superscript"/>
        </w:rPr>
        <w:t>2</w:t>
      </w:r>
      <w:r w:rsidRPr="002E6D21">
        <w:rPr>
          <w:rStyle w:val="text-to-speech"/>
          <w:rFonts w:cstheme="minorHAnsi"/>
          <w:color w:val="111111"/>
          <w:sz w:val="36"/>
          <w:szCs w:val="36"/>
        </w:rPr>
        <w:t xml:space="preserve">quando il Signore, tuo Dio, le avrà messe in tuo potere e tu le avrai sconfitte, tu le voterai allo </w:t>
      </w:r>
      <w:r w:rsidRPr="00932B8A">
        <w:rPr>
          <w:rStyle w:val="text-to-speech"/>
          <w:rFonts w:cstheme="minorHAnsi"/>
          <w:color w:val="C00000"/>
          <w:sz w:val="36"/>
          <w:szCs w:val="36"/>
        </w:rPr>
        <w:t>sterminio</w:t>
      </w:r>
      <w:r w:rsidRPr="002E6D21">
        <w:rPr>
          <w:rStyle w:val="text-to-speech"/>
          <w:rFonts w:cstheme="minorHAnsi"/>
          <w:color w:val="111111"/>
          <w:sz w:val="36"/>
          <w:szCs w:val="36"/>
        </w:rPr>
        <w:t>. Con esse non stringerai alcuna alleanza e nei loro confronti non avrai pietà. </w:t>
      </w:r>
      <w:r w:rsidRPr="007A13DA">
        <w:rPr>
          <w:rStyle w:val="versenumber"/>
          <w:rFonts w:cstheme="minorHAnsi"/>
          <w:sz w:val="36"/>
          <w:szCs w:val="36"/>
          <w:vertAlign w:val="superscript"/>
        </w:rPr>
        <w:t>3</w:t>
      </w:r>
      <w:r w:rsidRPr="002E6D21">
        <w:rPr>
          <w:rStyle w:val="text-to-speech"/>
          <w:rFonts w:cstheme="minorHAnsi"/>
          <w:color w:val="111111"/>
          <w:sz w:val="36"/>
          <w:szCs w:val="36"/>
        </w:rPr>
        <w:t>Non costituirai legami di parentela con loro, non darai le tue figlie ai loro figli e non prenderai le loro figlie per i tuoi figli, </w:t>
      </w:r>
      <w:r w:rsidRPr="007A13DA">
        <w:rPr>
          <w:rStyle w:val="versenumber"/>
          <w:rFonts w:cstheme="minorHAnsi"/>
          <w:sz w:val="36"/>
          <w:szCs w:val="36"/>
          <w:vertAlign w:val="superscript"/>
        </w:rPr>
        <w:t>4</w:t>
      </w:r>
      <w:r w:rsidRPr="002E6D21">
        <w:rPr>
          <w:rStyle w:val="text-to-speech"/>
          <w:rFonts w:cstheme="minorHAnsi"/>
          <w:color w:val="111111"/>
          <w:sz w:val="36"/>
          <w:szCs w:val="36"/>
        </w:rPr>
        <w:t>perché allontanerebbero la tua discendenza dal seguire me, per farli servire a dèi stranieri, e l'ira del Signore si accenderebbe contro di voi e ben presto vi distruggerebbe…».</w:t>
      </w:r>
    </w:p>
    <w:p w14:paraId="78DC2DB3" w14:textId="77777777" w:rsidR="00B66A5F" w:rsidRPr="002E6D21" w:rsidRDefault="00B66A5F" w:rsidP="001E738D">
      <w:pPr>
        <w:spacing w:line="240" w:lineRule="auto"/>
        <w:ind w:firstLine="284"/>
        <w:rPr>
          <w:rStyle w:val="text-to-speech"/>
          <w:rFonts w:cstheme="minorHAnsi"/>
          <w:color w:val="111111"/>
          <w:sz w:val="36"/>
          <w:szCs w:val="36"/>
        </w:rPr>
      </w:pPr>
    </w:p>
    <w:p w14:paraId="31D21740" w14:textId="77777777" w:rsidR="00B66A5F" w:rsidRDefault="00B66A5F" w:rsidP="001E738D">
      <w:pPr>
        <w:spacing w:line="240" w:lineRule="auto"/>
        <w:ind w:firstLine="284"/>
        <w:rPr>
          <w:rStyle w:val="text-to-speech"/>
          <w:rFonts w:cstheme="minorHAnsi"/>
          <w:color w:val="111111"/>
          <w:sz w:val="36"/>
          <w:szCs w:val="36"/>
        </w:rPr>
      </w:pPr>
      <w:r>
        <w:rPr>
          <w:rStyle w:val="text-to-speech"/>
          <w:rFonts w:cstheme="minorHAnsi"/>
          <w:color w:val="111111"/>
          <w:sz w:val="36"/>
          <w:szCs w:val="36"/>
        </w:rPr>
        <w:t>D</w:t>
      </w:r>
      <w:r w:rsidRPr="002E6D21">
        <w:rPr>
          <w:rStyle w:val="text-to-speech"/>
          <w:rFonts w:cstheme="minorHAnsi"/>
          <w:color w:val="111111"/>
          <w:sz w:val="36"/>
          <w:szCs w:val="36"/>
        </w:rPr>
        <w:t>a un lato li voterai allo sterminio e da l’altro non farai mai sposare con loro i tuoi figli e le tue figlie per il rischio di cadere nell’idolatria. Se fossero stati effettivamente sterminati il problema</w:t>
      </w:r>
      <w:r>
        <w:rPr>
          <w:rStyle w:val="text-to-speech"/>
          <w:rFonts w:cstheme="minorHAnsi"/>
          <w:color w:val="111111"/>
          <w:sz w:val="36"/>
          <w:szCs w:val="36"/>
        </w:rPr>
        <w:t>,</w:t>
      </w:r>
      <w:r w:rsidRPr="002E6D21">
        <w:rPr>
          <w:rStyle w:val="text-to-speech"/>
          <w:rFonts w:cstheme="minorHAnsi"/>
          <w:color w:val="111111"/>
          <w:sz w:val="36"/>
          <w:szCs w:val="36"/>
        </w:rPr>
        <w:t xml:space="preserve"> con ogni evidenza</w:t>
      </w:r>
      <w:r>
        <w:rPr>
          <w:rStyle w:val="text-to-speech"/>
          <w:rFonts w:cstheme="minorHAnsi"/>
          <w:color w:val="111111"/>
          <w:sz w:val="36"/>
          <w:szCs w:val="36"/>
        </w:rPr>
        <w:t>,</w:t>
      </w:r>
      <w:r w:rsidRPr="002E6D21">
        <w:rPr>
          <w:rStyle w:val="text-to-speech"/>
          <w:rFonts w:cstheme="minorHAnsi"/>
          <w:color w:val="111111"/>
          <w:sz w:val="36"/>
          <w:szCs w:val="36"/>
        </w:rPr>
        <w:t xml:space="preserve"> non sarebbe sorto</w:t>
      </w:r>
      <w:r>
        <w:rPr>
          <w:rStyle w:val="text-to-speech"/>
          <w:rFonts w:cstheme="minorHAnsi"/>
          <w:color w:val="111111"/>
          <w:sz w:val="36"/>
          <w:szCs w:val="36"/>
        </w:rPr>
        <w:t>.</w:t>
      </w:r>
    </w:p>
    <w:p w14:paraId="5ED4956D" w14:textId="77777777" w:rsidR="00B23C1A" w:rsidRDefault="00B23C1A" w:rsidP="00932B8A">
      <w:pPr>
        <w:spacing w:line="240" w:lineRule="auto"/>
        <w:ind w:firstLine="0"/>
        <w:contextualSpacing/>
        <w:rPr>
          <w:rStyle w:val="text-to-speech"/>
          <w:rFonts w:cstheme="minorHAnsi"/>
          <w:color w:val="111111"/>
          <w:sz w:val="36"/>
          <w:szCs w:val="36"/>
        </w:rPr>
      </w:pPr>
      <w:r w:rsidRPr="002E6D21">
        <w:rPr>
          <w:rStyle w:val="text-to-speech"/>
          <w:rFonts w:cstheme="minorHAnsi"/>
          <w:color w:val="111111"/>
          <w:sz w:val="36"/>
          <w:szCs w:val="36"/>
        </w:rPr>
        <w:t xml:space="preserve"> </w:t>
      </w:r>
      <w:r>
        <w:rPr>
          <w:rStyle w:val="text-to-speech"/>
          <w:rFonts w:cstheme="minorHAnsi"/>
          <w:color w:val="111111"/>
          <w:sz w:val="36"/>
          <w:szCs w:val="36"/>
        </w:rPr>
        <w:t>Il cacciare/sterminare entra in urto con</w:t>
      </w:r>
      <w:r w:rsidRPr="002E6D21">
        <w:rPr>
          <w:rStyle w:val="text-to-speech"/>
          <w:rFonts w:cstheme="minorHAnsi"/>
          <w:color w:val="111111"/>
          <w:sz w:val="36"/>
          <w:szCs w:val="36"/>
        </w:rPr>
        <w:t xml:space="preserve"> la constatazione che</w:t>
      </w:r>
      <w:r>
        <w:rPr>
          <w:rStyle w:val="text-to-speech"/>
          <w:rFonts w:cstheme="minorHAnsi"/>
          <w:color w:val="111111"/>
          <w:sz w:val="36"/>
          <w:szCs w:val="36"/>
        </w:rPr>
        <w:t>,</w:t>
      </w:r>
      <w:r w:rsidRPr="002E6D21">
        <w:rPr>
          <w:rStyle w:val="text-to-speech"/>
          <w:rFonts w:cstheme="minorHAnsi"/>
          <w:color w:val="111111"/>
          <w:sz w:val="36"/>
          <w:szCs w:val="36"/>
        </w:rPr>
        <w:t xml:space="preserve"> in realtà</w:t>
      </w:r>
      <w:r>
        <w:rPr>
          <w:rStyle w:val="text-to-speech"/>
          <w:rFonts w:cstheme="minorHAnsi"/>
          <w:color w:val="111111"/>
          <w:sz w:val="36"/>
          <w:szCs w:val="36"/>
        </w:rPr>
        <w:t>,</w:t>
      </w:r>
      <w:r w:rsidRPr="002E6D21">
        <w:rPr>
          <w:rStyle w:val="text-to-speech"/>
          <w:rFonts w:cstheme="minorHAnsi"/>
          <w:color w:val="111111"/>
          <w:sz w:val="36"/>
          <w:szCs w:val="36"/>
        </w:rPr>
        <w:t xml:space="preserve"> </w:t>
      </w:r>
      <w:r>
        <w:rPr>
          <w:rStyle w:val="text-to-speech"/>
          <w:rFonts w:cstheme="minorHAnsi"/>
          <w:color w:val="111111"/>
          <w:sz w:val="36"/>
          <w:szCs w:val="36"/>
        </w:rPr>
        <w:t>altri popoli</w:t>
      </w:r>
      <w:r w:rsidRPr="002E6D21">
        <w:rPr>
          <w:rStyle w:val="text-to-speech"/>
          <w:rFonts w:cstheme="minorHAnsi"/>
          <w:color w:val="111111"/>
          <w:sz w:val="36"/>
          <w:szCs w:val="36"/>
        </w:rPr>
        <w:t xml:space="preserve"> permangono</w:t>
      </w:r>
      <w:r>
        <w:rPr>
          <w:rStyle w:val="text-to-speech"/>
          <w:rFonts w:cstheme="minorHAnsi"/>
          <w:color w:val="111111"/>
          <w:sz w:val="36"/>
          <w:szCs w:val="36"/>
        </w:rPr>
        <w:t xml:space="preserve"> su quella terra</w:t>
      </w:r>
      <w:r w:rsidRPr="002E6D21">
        <w:rPr>
          <w:rStyle w:val="text-to-speech"/>
          <w:rFonts w:cstheme="minorHAnsi"/>
          <w:color w:val="111111"/>
          <w:sz w:val="36"/>
          <w:szCs w:val="36"/>
        </w:rPr>
        <w:t>. Dopo la guerra di conquista – cfr. il libro di Giosuè</w:t>
      </w:r>
      <w:r>
        <w:rPr>
          <w:rStyle w:val="text-to-speech"/>
          <w:rFonts w:cstheme="minorHAnsi"/>
          <w:color w:val="111111"/>
          <w:sz w:val="36"/>
          <w:szCs w:val="36"/>
        </w:rPr>
        <w:t xml:space="preserve"> </w:t>
      </w:r>
      <w:r w:rsidRPr="002E6D21">
        <w:rPr>
          <w:rStyle w:val="text-to-speech"/>
          <w:rFonts w:cstheme="minorHAnsi"/>
          <w:color w:val="111111"/>
          <w:sz w:val="36"/>
          <w:szCs w:val="36"/>
        </w:rPr>
        <w:t xml:space="preserve">-, </w:t>
      </w:r>
      <w:r>
        <w:rPr>
          <w:rStyle w:val="text-to-speech"/>
          <w:rFonts w:cstheme="minorHAnsi"/>
          <w:color w:val="111111"/>
          <w:sz w:val="36"/>
          <w:szCs w:val="36"/>
        </w:rPr>
        <w:t>avvengono delle guerre con popolazioni</w:t>
      </w:r>
      <w:r w:rsidRPr="002E6D21">
        <w:rPr>
          <w:rStyle w:val="text-to-speech"/>
          <w:rFonts w:cstheme="minorHAnsi"/>
          <w:color w:val="111111"/>
          <w:sz w:val="36"/>
          <w:szCs w:val="36"/>
        </w:rPr>
        <w:t xml:space="preserve"> che invece di essere annientat</w:t>
      </w:r>
      <w:r>
        <w:rPr>
          <w:rStyle w:val="text-to-speech"/>
          <w:rFonts w:cstheme="minorHAnsi"/>
          <w:color w:val="111111"/>
          <w:sz w:val="36"/>
          <w:szCs w:val="36"/>
        </w:rPr>
        <w:t>e</w:t>
      </w:r>
      <w:r w:rsidRPr="002E6D21">
        <w:rPr>
          <w:rStyle w:val="text-to-speech"/>
          <w:rFonts w:cstheme="minorHAnsi"/>
          <w:color w:val="111111"/>
          <w:sz w:val="36"/>
          <w:szCs w:val="36"/>
        </w:rPr>
        <w:t xml:space="preserve"> sono sempre presenti, cfr. i libri dei Giudici e 1-2 Samuele.</w:t>
      </w:r>
    </w:p>
    <w:p w14:paraId="1FB3AD67" w14:textId="77777777" w:rsidR="00B23C1A" w:rsidRDefault="00B23C1A" w:rsidP="001E738D">
      <w:pPr>
        <w:spacing w:line="240" w:lineRule="auto"/>
        <w:ind w:firstLine="0"/>
        <w:rPr>
          <w:rStyle w:val="text-to-speech"/>
          <w:rFonts w:cstheme="minorHAnsi"/>
          <w:b/>
          <w:bCs/>
          <w:color w:val="111111"/>
          <w:sz w:val="36"/>
          <w:szCs w:val="36"/>
        </w:rPr>
      </w:pPr>
    </w:p>
    <w:p w14:paraId="037D137E" w14:textId="77777777" w:rsidR="004E545A" w:rsidRDefault="004E545A" w:rsidP="001E738D">
      <w:pPr>
        <w:spacing w:line="240" w:lineRule="auto"/>
        <w:ind w:firstLine="284"/>
        <w:jc w:val="left"/>
        <w:rPr>
          <w:b/>
          <w:bCs/>
          <w:color w:val="943634" w:themeColor="accent2" w:themeShade="BF"/>
          <w:kern w:val="2"/>
          <w:sz w:val="36"/>
          <w:szCs w:val="36"/>
          <w14:ligatures w14:val="standardContextual"/>
        </w:rPr>
      </w:pPr>
    </w:p>
    <w:p w14:paraId="5CBAD07C" w14:textId="0D013C90" w:rsidR="004E545A" w:rsidRPr="00DB42C5" w:rsidRDefault="004E545A" w:rsidP="001E738D">
      <w:pPr>
        <w:spacing w:line="240" w:lineRule="auto"/>
        <w:ind w:firstLine="284"/>
        <w:jc w:val="left"/>
        <w:rPr>
          <w:b/>
          <w:bCs/>
          <w:color w:val="E36C0A" w:themeColor="accent6" w:themeShade="BF"/>
          <w:kern w:val="2"/>
          <w:sz w:val="36"/>
          <w:szCs w:val="36"/>
          <w14:ligatures w14:val="standardContextual"/>
        </w:rPr>
      </w:pPr>
      <w:r w:rsidRPr="00DB42C5">
        <w:rPr>
          <w:b/>
          <w:bCs/>
          <w:color w:val="E36C0A" w:themeColor="accent6" w:themeShade="BF"/>
          <w:kern w:val="2"/>
          <w:sz w:val="36"/>
          <w:szCs w:val="36"/>
          <w14:ligatures w14:val="standardContextual"/>
        </w:rPr>
        <w:t>3. Il ritorno</w:t>
      </w:r>
    </w:p>
    <w:p w14:paraId="05DCFAEB" w14:textId="77777777" w:rsidR="004E545A" w:rsidRPr="00866C14" w:rsidRDefault="004E545A" w:rsidP="001E738D">
      <w:pPr>
        <w:spacing w:line="240" w:lineRule="auto"/>
        <w:ind w:firstLine="284"/>
        <w:jc w:val="left"/>
        <w:rPr>
          <w:kern w:val="2"/>
          <w:sz w:val="36"/>
          <w:szCs w:val="36"/>
          <w14:ligatures w14:val="standardContextual"/>
        </w:rPr>
      </w:pPr>
      <w:r w:rsidRPr="00866C14">
        <w:rPr>
          <w:kern w:val="2"/>
          <w:sz w:val="36"/>
          <w:szCs w:val="36"/>
          <w14:ligatures w14:val="standardContextual"/>
        </w:rPr>
        <w:t>Il ritorno presuppone un precedente allontanamento</w:t>
      </w:r>
      <w:r>
        <w:rPr>
          <w:kern w:val="2"/>
          <w:sz w:val="36"/>
          <w:szCs w:val="36"/>
          <w14:ligatures w14:val="standardContextual"/>
        </w:rPr>
        <w:t xml:space="preserve">. Ritornare non equivale ad entrare. </w:t>
      </w:r>
    </w:p>
    <w:p w14:paraId="0992CE75" w14:textId="77777777" w:rsidR="004E545A" w:rsidRPr="006C76B5" w:rsidRDefault="004E545A" w:rsidP="001E738D">
      <w:pPr>
        <w:spacing w:line="240" w:lineRule="auto"/>
        <w:ind w:firstLine="284"/>
        <w:jc w:val="left"/>
        <w:rPr>
          <w:kern w:val="2"/>
          <w:sz w:val="36"/>
          <w:szCs w:val="36"/>
          <w14:ligatures w14:val="standardContextual"/>
        </w:rPr>
      </w:pPr>
    </w:p>
    <w:p w14:paraId="6007241C" w14:textId="4B1AE570" w:rsidR="004E545A" w:rsidRPr="00866C14" w:rsidRDefault="004E545A" w:rsidP="001E738D">
      <w:pPr>
        <w:spacing w:line="240" w:lineRule="auto"/>
        <w:ind w:firstLine="284"/>
        <w:rPr>
          <w:sz w:val="36"/>
          <w:szCs w:val="36"/>
        </w:rPr>
      </w:pPr>
      <w:r w:rsidRPr="00866C14">
        <w:rPr>
          <w:rFonts w:ascii="Arial" w:hAnsi="Arial" w:cs="Arial"/>
          <w:sz w:val="36"/>
          <w:szCs w:val="36"/>
        </w:rPr>
        <w:t>«</w:t>
      </w:r>
      <w:r w:rsidRPr="00866C14">
        <w:rPr>
          <w:sz w:val="36"/>
          <w:szCs w:val="36"/>
        </w:rPr>
        <w:t>Il Signore, tuo Dio, ti ricondurrà nella terra che i tuoi padri avevano posseduto e tu ne riprenderai possesso. Egli ti farà felice e ti moltiplicherà più dei tuoi padri» (</w:t>
      </w:r>
      <w:proofErr w:type="spellStart"/>
      <w:r w:rsidRPr="00866C14">
        <w:rPr>
          <w:sz w:val="36"/>
          <w:szCs w:val="36"/>
        </w:rPr>
        <w:t>Dt</w:t>
      </w:r>
      <w:proofErr w:type="spellEnd"/>
      <w:r w:rsidRPr="00866C14">
        <w:rPr>
          <w:sz w:val="36"/>
          <w:szCs w:val="36"/>
        </w:rPr>
        <w:t xml:space="preserve"> 30,8).</w:t>
      </w:r>
    </w:p>
    <w:p w14:paraId="140BFD8F" w14:textId="77777777" w:rsidR="002E0F76" w:rsidRDefault="002E0F76" w:rsidP="001E738D">
      <w:pPr>
        <w:spacing w:line="240" w:lineRule="auto"/>
        <w:ind w:firstLine="284"/>
        <w:rPr>
          <w:rFonts w:cstheme="minorHAnsi"/>
          <w:sz w:val="36"/>
          <w:szCs w:val="36"/>
        </w:rPr>
      </w:pPr>
    </w:p>
    <w:p w14:paraId="1711DE88" w14:textId="180EC466" w:rsidR="002E0F76" w:rsidRPr="0037367A" w:rsidRDefault="002E0F76" w:rsidP="001E738D">
      <w:pPr>
        <w:spacing w:line="240" w:lineRule="auto"/>
        <w:rPr>
          <w:rFonts w:cstheme="minorHAnsi"/>
          <w:sz w:val="36"/>
          <w:szCs w:val="36"/>
        </w:rPr>
      </w:pPr>
      <w:r w:rsidRPr="0037367A">
        <w:rPr>
          <w:rFonts w:cstheme="minorHAnsi"/>
          <w:sz w:val="36"/>
          <w:szCs w:val="36"/>
        </w:rPr>
        <w:t>L’</w:t>
      </w:r>
      <w:r>
        <w:rPr>
          <w:rFonts w:cstheme="minorHAnsi"/>
          <w:sz w:val="36"/>
          <w:szCs w:val="36"/>
        </w:rPr>
        <w:t xml:space="preserve">ideologia sionista è la forma principale in cui, a partire dal XIX secolo, è stata suscitata e affrontata la questione nazionale ebraica. Rispetto alla terra ciò comporta che l’ideologia fondante (tuttora dotata in Israele di valore giuridico) sia quella del </w:t>
      </w:r>
      <w:r w:rsidRPr="008C1F39">
        <w:rPr>
          <w:rFonts w:cstheme="minorHAnsi"/>
          <w:color w:val="C00000"/>
          <w:sz w:val="36"/>
          <w:szCs w:val="36"/>
        </w:rPr>
        <w:t>ritorno</w:t>
      </w:r>
      <w:r>
        <w:rPr>
          <w:rFonts w:cstheme="minorHAnsi"/>
          <w:sz w:val="36"/>
          <w:szCs w:val="36"/>
        </w:rPr>
        <w:t xml:space="preserve"> e non già quella della conquista. Ciò ha comportato e comporta un perenne problema di come relazionarsi con l’«altro» che già risiedeva su una terra considerata propria.</w:t>
      </w:r>
    </w:p>
    <w:p w14:paraId="51709804" w14:textId="77777777" w:rsidR="00DB42C5" w:rsidRDefault="00DB42C5" w:rsidP="001E738D">
      <w:pPr>
        <w:spacing w:line="240" w:lineRule="auto"/>
        <w:rPr>
          <w:rFonts w:cstheme="minorHAnsi"/>
          <w:sz w:val="36"/>
          <w:szCs w:val="36"/>
        </w:rPr>
      </w:pPr>
    </w:p>
    <w:p w14:paraId="6B88CDDD" w14:textId="4770E792" w:rsidR="004E545A" w:rsidRDefault="004E545A" w:rsidP="001E738D">
      <w:pPr>
        <w:spacing w:line="240" w:lineRule="auto"/>
        <w:rPr>
          <w:rFonts w:cstheme="minorHAnsi"/>
          <w:sz w:val="36"/>
          <w:szCs w:val="36"/>
        </w:rPr>
      </w:pPr>
      <w:r w:rsidRPr="00382A0C">
        <w:rPr>
          <w:rFonts w:cstheme="minorHAnsi"/>
          <w:sz w:val="36"/>
          <w:szCs w:val="36"/>
        </w:rPr>
        <w:t xml:space="preserve">Alle spalle del sorgere dell’ideologia sionista si è soliti individuare la presenza di tre ordini di fattori convergenti. </w:t>
      </w:r>
    </w:p>
    <w:p w14:paraId="7A4E7D69" w14:textId="77777777" w:rsidR="004E545A" w:rsidRDefault="004E545A" w:rsidP="001E738D">
      <w:pPr>
        <w:spacing w:line="240" w:lineRule="auto"/>
        <w:rPr>
          <w:rFonts w:cstheme="minorHAnsi"/>
          <w:sz w:val="36"/>
          <w:szCs w:val="36"/>
        </w:rPr>
      </w:pPr>
      <w:r w:rsidRPr="00B704E7">
        <w:rPr>
          <w:rFonts w:cstheme="minorHAnsi"/>
          <w:sz w:val="36"/>
          <w:szCs w:val="36"/>
        </w:rPr>
        <w:t xml:space="preserve">Innanzitutto vi è la secolarizzazione della speranza messianica ebraica di ritornare dalla dispersione alla terra d’Israele. Senza la memoria di </w:t>
      </w:r>
      <w:r w:rsidRPr="00B704E7">
        <w:rPr>
          <w:rFonts w:cstheme="minorHAnsi"/>
          <w:i/>
          <w:iCs/>
          <w:sz w:val="36"/>
          <w:szCs w:val="36"/>
        </w:rPr>
        <w:t>Erez Israel</w:t>
      </w:r>
      <w:r w:rsidRPr="00B704E7">
        <w:rPr>
          <w:rFonts w:cstheme="minorHAnsi"/>
          <w:sz w:val="36"/>
          <w:szCs w:val="36"/>
        </w:rPr>
        <w:t xml:space="preserve">, trasmessa di generazione in generazione, senza la quotidiana celebrazione liturgica di un futuro ritorno a Gerusalemme accompagnato dalla riedificazione escatologica del Terzo Tempio, il riferimento alla terra si sarebbe estinto nel corso dei secoli. Tuttavia è ancor più importante affermare che, mentre la speranza messianica si manifestava nell’invocazione e nell’attesa, la scelta sionista si estrinsecò nella volontà </w:t>
      </w:r>
      <w:r w:rsidRPr="00B704E7">
        <w:rPr>
          <w:rFonts w:cstheme="minorHAnsi"/>
          <w:sz w:val="36"/>
          <w:szCs w:val="36"/>
        </w:rPr>
        <w:lastRenderedPageBreak/>
        <w:t xml:space="preserve">di agire sul piano storico. Non a caso, all’inizio, l’ortodossia rabbinica, quasi all’unanimità, la condannò in virtù della volontà di voler sostituire l’azione umana a quella divina. </w:t>
      </w:r>
    </w:p>
    <w:p w14:paraId="3F0436AC" w14:textId="77777777" w:rsidR="004E545A" w:rsidRDefault="004E545A" w:rsidP="001E738D">
      <w:pPr>
        <w:spacing w:line="240" w:lineRule="auto"/>
        <w:rPr>
          <w:rFonts w:cstheme="minorHAnsi"/>
          <w:sz w:val="36"/>
          <w:szCs w:val="36"/>
        </w:rPr>
      </w:pPr>
      <w:r w:rsidRPr="00B704E7">
        <w:rPr>
          <w:rFonts w:cstheme="minorHAnsi"/>
          <w:sz w:val="36"/>
          <w:szCs w:val="36"/>
        </w:rPr>
        <w:t xml:space="preserve"> </w:t>
      </w:r>
    </w:p>
    <w:p w14:paraId="13363187" w14:textId="77777777" w:rsidR="004E545A" w:rsidRDefault="004E545A" w:rsidP="001E738D">
      <w:pPr>
        <w:spacing w:line="240" w:lineRule="auto"/>
        <w:rPr>
          <w:rFonts w:cstheme="minorHAnsi"/>
          <w:sz w:val="36"/>
          <w:szCs w:val="36"/>
        </w:rPr>
      </w:pPr>
      <w:r w:rsidRPr="00B704E7">
        <w:rPr>
          <w:rFonts w:cstheme="minorHAnsi"/>
          <w:sz w:val="36"/>
          <w:szCs w:val="36"/>
        </w:rPr>
        <w:t xml:space="preserve">Il secondo ordine di fattori è costituito dalle ondate di massacri e pogrom abbattutesi sugli ebrei nella seconda metà del XIX secolo in Europa Orientale. Questa concausa, però, non va eccessivamente esaltata. Infatti all’antisemitismo si poteva rispondere anche in altro modo: dal punto di vista quantitativo la replica più consistente ed efficace fu l’emigrazione al di là dell’Atlantico. L’America evitava i pogrom più della Palestina. </w:t>
      </w:r>
    </w:p>
    <w:p w14:paraId="0C728D70" w14:textId="77777777" w:rsidR="00932B8A" w:rsidRDefault="00932B8A" w:rsidP="001E738D">
      <w:pPr>
        <w:spacing w:line="240" w:lineRule="auto"/>
        <w:rPr>
          <w:rFonts w:cstheme="minorHAnsi"/>
          <w:sz w:val="36"/>
          <w:szCs w:val="36"/>
        </w:rPr>
      </w:pPr>
    </w:p>
    <w:p w14:paraId="302E152A" w14:textId="61E0E9B4" w:rsidR="004E545A" w:rsidRDefault="004E545A" w:rsidP="001E738D">
      <w:pPr>
        <w:spacing w:line="240" w:lineRule="auto"/>
        <w:rPr>
          <w:rFonts w:cstheme="minorHAnsi"/>
          <w:sz w:val="36"/>
          <w:szCs w:val="36"/>
        </w:rPr>
      </w:pPr>
      <w:r w:rsidRPr="00B704E7">
        <w:rPr>
          <w:rFonts w:cstheme="minorHAnsi"/>
          <w:sz w:val="36"/>
          <w:szCs w:val="36"/>
        </w:rPr>
        <w:t xml:space="preserve">Perciò il sionismo si presenta soprattutto come un tipo di risposta ai problemi suscitati dall’incontro degli ebrei con la modernità. In particolare, esso si confrontò con i fenomeni storici collegati al risveglio dei popoli oppressi, specie con il Risorgimento italiano: uno dei testi </w:t>
      </w:r>
      <w:proofErr w:type="spellStart"/>
      <w:r w:rsidRPr="00B704E7">
        <w:rPr>
          <w:rFonts w:cstheme="minorHAnsi"/>
          <w:sz w:val="36"/>
          <w:szCs w:val="36"/>
        </w:rPr>
        <w:t>protosionisti</w:t>
      </w:r>
      <w:proofErr w:type="spellEnd"/>
      <w:r w:rsidRPr="00B704E7">
        <w:rPr>
          <w:rFonts w:cstheme="minorHAnsi"/>
          <w:sz w:val="36"/>
          <w:szCs w:val="36"/>
        </w:rPr>
        <w:t xml:space="preserve"> è Roma</w:t>
      </w:r>
      <w:r w:rsidRPr="00B704E7">
        <w:rPr>
          <w:rFonts w:cstheme="minorHAnsi"/>
          <w:i/>
          <w:iCs/>
          <w:sz w:val="36"/>
          <w:szCs w:val="36"/>
        </w:rPr>
        <w:t xml:space="preserve"> e Gerusalemme</w:t>
      </w:r>
      <w:r w:rsidRPr="00B704E7">
        <w:rPr>
          <w:rFonts w:cstheme="minorHAnsi"/>
          <w:sz w:val="36"/>
          <w:szCs w:val="36"/>
        </w:rPr>
        <w:t xml:space="preserve"> di Moses Hess. Si può quindi condividere il giudizio espresso da Shlomo </w:t>
      </w:r>
      <w:proofErr w:type="spellStart"/>
      <w:r w:rsidRPr="00B704E7">
        <w:rPr>
          <w:rFonts w:cstheme="minorHAnsi"/>
          <w:sz w:val="36"/>
          <w:szCs w:val="36"/>
        </w:rPr>
        <w:t>Avineri</w:t>
      </w:r>
      <w:proofErr w:type="spellEnd"/>
      <w:r w:rsidRPr="00B704E7">
        <w:rPr>
          <w:rFonts w:cstheme="minorHAnsi"/>
          <w:sz w:val="36"/>
          <w:szCs w:val="36"/>
        </w:rPr>
        <w:t xml:space="preserve"> secondo cui il nazionalismo ebraico: </w:t>
      </w:r>
    </w:p>
    <w:p w14:paraId="72EEB503" w14:textId="77777777" w:rsidR="004E545A" w:rsidRPr="00B704E7" w:rsidRDefault="004E545A" w:rsidP="001E738D">
      <w:pPr>
        <w:spacing w:line="240" w:lineRule="auto"/>
        <w:rPr>
          <w:rFonts w:cstheme="minorHAnsi"/>
          <w:sz w:val="36"/>
          <w:szCs w:val="36"/>
          <w:vertAlign w:val="superscript"/>
        </w:rPr>
      </w:pPr>
      <w:r w:rsidRPr="00B704E7">
        <w:rPr>
          <w:rFonts w:cstheme="minorHAnsi"/>
          <w:sz w:val="36"/>
          <w:szCs w:val="36"/>
        </w:rPr>
        <w:t>«rappresenta molto più la sfida del liberalismo e del nazionalismo, che una risposta all’antisemitismo, e perciò non sarebbe potuto comparire prima del XIX e del XX sec. […] il sionismo rappresenta la ricerca dell’autodeterminazione e della liberazione nelle moderne condizioni della secolarizzazione del liberalismo».</w:t>
      </w:r>
    </w:p>
    <w:p w14:paraId="4AA31C3D" w14:textId="46B5850A" w:rsidR="004E545A" w:rsidRDefault="004E545A" w:rsidP="001E738D">
      <w:pPr>
        <w:spacing w:line="240" w:lineRule="auto"/>
        <w:rPr>
          <w:rFonts w:cstheme="minorHAnsi"/>
          <w:sz w:val="36"/>
          <w:szCs w:val="36"/>
        </w:rPr>
      </w:pPr>
      <w:r w:rsidRPr="00B704E7">
        <w:rPr>
          <w:rFonts w:cstheme="minorHAnsi"/>
          <w:sz w:val="36"/>
          <w:szCs w:val="36"/>
        </w:rPr>
        <w:t xml:space="preserve">Un problema destinato a crescere nel corso dei decenni fu il rapporto tra la componente ebraica che, grazie agli insediamenti sionistici, si stava definendo come nazione sul suolo della Palestina, e </w:t>
      </w:r>
      <w:r w:rsidRPr="00B704E7">
        <w:rPr>
          <w:rFonts w:cstheme="minorHAnsi"/>
          <w:sz w:val="36"/>
          <w:szCs w:val="36"/>
        </w:rPr>
        <w:lastRenderedPageBreak/>
        <w:t>la popolazione araba. Anno dopo anno, la cronaca continuava sempre più a smentire che il popolo senza terra potesse trasferirsi su una</w:t>
      </w:r>
      <w:r w:rsidRPr="00382A0C">
        <w:rPr>
          <w:rFonts w:cstheme="minorHAnsi"/>
          <w:sz w:val="36"/>
          <w:szCs w:val="36"/>
        </w:rPr>
        <w:t xml:space="preserve"> terra senza popolo.</w:t>
      </w:r>
      <w:r>
        <w:rPr>
          <w:rStyle w:val="Rimandonotaapidipagina"/>
          <w:rFonts w:cstheme="minorHAnsi"/>
          <w:sz w:val="36"/>
          <w:szCs w:val="36"/>
        </w:rPr>
        <w:footnoteReference w:id="1"/>
      </w:r>
      <w:r w:rsidRPr="00382A0C">
        <w:rPr>
          <w:rFonts w:cstheme="minorHAnsi"/>
          <w:sz w:val="36"/>
          <w:szCs w:val="36"/>
        </w:rPr>
        <w:t xml:space="preserve"> </w:t>
      </w:r>
    </w:p>
    <w:p w14:paraId="5863C426" w14:textId="77777777" w:rsidR="008C6631" w:rsidRDefault="008C6631" w:rsidP="001E738D">
      <w:pPr>
        <w:spacing w:line="240" w:lineRule="auto"/>
        <w:ind w:firstLine="284"/>
        <w:rPr>
          <w:rStyle w:val="text-to-speech"/>
          <w:rFonts w:cstheme="minorHAnsi"/>
          <w:b/>
          <w:bCs/>
          <w:color w:val="E36C0A" w:themeColor="accent6" w:themeShade="BF"/>
          <w:sz w:val="36"/>
          <w:szCs w:val="36"/>
        </w:rPr>
      </w:pPr>
    </w:p>
    <w:p w14:paraId="64B52593" w14:textId="2544B86C" w:rsidR="002E0F76" w:rsidRPr="0046527F" w:rsidRDefault="00DB42C5" w:rsidP="001E738D">
      <w:pPr>
        <w:spacing w:line="240" w:lineRule="auto"/>
        <w:ind w:firstLine="284"/>
        <w:rPr>
          <w:rStyle w:val="text-to-speech"/>
          <w:rFonts w:cstheme="minorHAnsi"/>
          <w:b/>
          <w:bCs/>
          <w:color w:val="E36C0A" w:themeColor="accent6" w:themeShade="BF"/>
          <w:sz w:val="36"/>
          <w:szCs w:val="36"/>
        </w:rPr>
      </w:pPr>
      <w:r>
        <w:rPr>
          <w:rStyle w:val="text-to-speech"/>
          <w:rFonts w:cstheme="minorHAnsi"/>
          <w:b/>
          <w:bCs/>
          <w:color w:val="E36C0A" w:themeColor="accent6" w:themeShade="BF"/>
          <w:sz w:val="36"/>
          <w:szCs w:val="36"/>
        </w:rPr>
        <w:t xml:space="preserve">3.1 </w:t>
      </w:r>
      <w:r w:rsidR="0046527F" w:rsidRPr="0046527F">
        <w:rPr>
          <w:rStyle w:val="text-to-speech"/>
          <w:rFonts w:cstheme="minorHAnsi"/>
          <w:b/>
          <w:bCs/>
          <w:color w:val="E36C0A" w:themeColor="accent6" w:themeShade="BF"/>
          <w:sz w:val="36"/>
          <w:szCs w:val="36"/>
        </w:rPr>
        <w:t>Sionismo laico e sionismo religioso</w:t>
      </w:r>
    </w:p>
    <w:p w14:paraId="7F6CA1FE" w14:textId="77777777" w:rsidR="008C6631" w:rsidRDefault="008C6631" w:rsidP="001E738D">
      <w:pPr>
        <w:spacing w:line="240" w:lineRule="auto"/>
        <w:rPr>
          <w:rFonts w:cstheme="minorHAnsi"/>
          <w:sz w:val="36"/>
          <w:szCs w:val="36"/>
        </w:rPr>
      </w:pPr>
    </w:p>
    <w:p w14:paraId="26414585" w14:textId="0668D97F" w:rsidR="0046527F" w:rsidRDefault="001E738D" w:rsidP="001E738D">
      <w:pPr>
        <w:spacing w:line="240" w:lineRule="auto"/>
        <w:rPr>
          <w:rFonts w:cstheme="minorHAnsi"/>
          <w:sz w:val="36"/>
          <w:szCs w:val="36"/>
        </w:rPr>
      </w:pPr>
      <w:r w:rsidRPr="00382A0C">
        <w:rPr>
          <w:rFonts w:cstheme="minorHAnsi"/>
          <w:sz w:val="36"/>
          <w:szCs w:val="36"/>
        </w:rPr>
        <w:t xml:space="preserve">Rav Avraham </w:t>
      </w:r>
      <w:proofErr w:type="spellStart"/>
      <w:r w:rsidRPr="00382A0C">
        <w:rPr>
          <w:rFonts w:cstheme="minorHAnsi"/>
          <w:sz w:val="36"/>
          <w:szCs w:val="36"/>
        </w:rPr>
        <w:t>Yizchaq</w:t>
      </w:r>
      <w:proofErr w:type="spellEnd"/>
      <w:r w:rsidRPr="00382A0C">
        <w:rPr>
          <w:rFonts w:cstheme="minorHAnsi"/>
          <w:sz w:val="36"/>
          <w:szCs w:val="36"/>
        </w:rPr>
        <w:t xml:space="preserve"> </w:t>
      </w:r>
      <w:proofErr w:type="spellStart"/>
      <w:r w:rsidRPr="00382A0C">
        <w:rPr>
          <w:rFonts w:cstheme="minorHAnsi"/>
          <w:sz w:val="36"/>
          <w:szCs w:val="36"/>
        </w:rPr>
        <w:t>Kook</w:t>
      </w:r>
      <w:proofErr w:type="spellEnd"/>
      <w:r w:rsidRPr="00382A0C">
        <w:rPr>
          <w:rFonts w:cstheme="minorHAnsi"/>
          <w:sz w:val="36"/>
          <w:szCs w:val="36"/>
        </w:rPr>
        <w:t xml:space="preserve"> (1865-1935)</w:t>
      </w:r>
      <w:r w:rsidR="0046527F">
        <w:rPr>
          <w:rFonts w:cstheme="minorHAnsi"/>
          <w:sz w:val="36"/>
          <w:szCs w:val="36"/>
        </w:rPr>
        <w:t xml:space="preserve"> fu</w:t>
      </w:r>
      <w:r w:rsidRPr="00382A0C">
        <w:rPr>
          <w:rFonts w:cstheme="minorHAnsi"/>
          <w:sz w:val="36"/>
          <w:szCs w:val="36"/>
        </w:rPr>
        <w:t xml:space="preserve"> la grande guida spirituale del sionismo religioso della Palestina mandataria. Fin dalla giovinezza il pensiero di Rav Kook fu caratterizzato da un approccio attivistico alla questione messianica e da una concezione utopica del sionismo. Egli si rifà a un filone che collega la rinascita spirituale del popolo alla terra. Secondo le sue parole: </w:t>
      </w:r>
    </w:p>
    <w:p w14:paraId="7EDD0988" w14:textId="3C65BE46" w:rsidR="001E738D" w:rsidRPr="00382A0C" w:rsidRDefault="001E738D" w:rsidP="001E738D">
      <w:pPr>
        <w:spacing w:line="240" w:lineRule="auto"/>
        <w:rPr>
          <w:rFonts w:cstheme="minorHAnsi"/>
          <w:sz w:val="36"/>
          <w:szCs w:val="36"/>
          <w:vertAlign w:val="superscript"/>
        </w:rPr>
      </w:pPr>
      <w:r w:rsidRPr="00382A0C">
        <w:rPr>
          <w:rFonts w:cstheme="minorHAnsi"/>
          <w:sz w:val="36"/>
          <w:szCs w:val="36"/>
        </w:rPr>
        <w:t>«ci è stato tramandato che vi sarà un risveglio spirituale nella Terra di Israele e in Israele stesso nel momento in cui comincerà l’alba della rinascita nazionale».</w:t>
      </w:r>
    </w:p>
    <w:p w14:paraId="034C99B7" w14:textId="77777777" w:rsidR="0046527F" w:rsidRDefault="001E738D" w:rsidP="001E738D">
      <w:pPr>
        <w:spacing w:line="240" w:lineRule="auto"/>
        <w:rPr>
          <w:rFonts w:cstheme="minorHAnsi"/>
          <w:sz w:val="36"/>
          <w:szCs w:val="36"/>
        </w:rPr>
      </w:pPr>
      <w:r w:rsidRPr="00382A0C">
        <w:rPr>
          <w:rFonts w:cstheme="minorHAnsi"/>
          <w:sz w:val="36"/>
          <w:szCs w:val="36"/>
        </w:rPr>
        <w:t xml:space="preserve">In effetti, l’apporto storicamente più rilevante di Rav Kook è stato quello di aver messo in luce la possibilità di ricondurre dentro un piano spirituale messianico pure l’opera del sionismo laico la quale, allora, costituiva il nerbo del movimento: </w:t>
      </w:r>
    </w:p>
    <w:p w14:paraId="6EC8F7ED" w14:textId="77777777" w:rsidR="008C6631" w:rsidRDefault="008C6631" w:rsidP="001E738D">
      <w:pPr>
        <w:spacing w:line="240" w:lineRule="auto"/>
        <w:rPr>
          <w:rFonts w:cstheme="minorHAnsi"/>
          <w:sz w:val="36"/>
          <w:szCs w:val="36"/>
        </w:rPr>
      </w:pPr>
    </w:p>
    <w:p w14:paraId="00C39501" w14:textId="362D8710" w:rsidR="001E738D" w:rsidRPr="00382A0C" w:rsidRDefault="001E738D" w:rsidP="001E738D">
      <w:pPr>
        <w:spacing w:line="240" w:lineRule="auto"/>
        <w:rPr>
          <w:rFonts w:cstheme="minorHAnsi"/>
          <w:sz w:val="36"/>
          <w:szCs w:val="36"/>
          <w:vertAlign w:val="superscript"/>
        </w:rPr>
      </w:pPr>
      <w:r w:rsidRPr="00382A0C">
        <w:rPr>
          <w:rFonts w:cstheme="minorHAnsi"/>
          <w:sz w:val="36"/>
          <w:szCs w:val="36"/>
        </w:rPr>
        <w:lastRenderedPageBreak/>
        <w:t xml:space="preserve">«i mattoni per la costruzione possono portarli anche coloro che non penetrano nella profondità del “mistero dei giusti” (cioè nel significato religioso della loro costruzione), e non solo possono portare i mattoni, ma sono in grado di essere </w:t>
      </w:r>
      <w:r w:rsidR="0046527F" w:rsidRPr="00382A0C">
        <w:rPr>
          <w:rFonts w:cstheme="minorHAnsi"/>
          <w:sz w:val="36"/>
          <w:szCs w:val="36"/>
        </w:rPr>
        <w:t>loro direttori</w:t>
      </w:r>
      <w:r w:rsidRPr="00382A0C">
        <w:rPr>
          <w:rFonts w:cstheme="minorHAnsi"/>
          <w:sz w:val="36"/>
          <w:szCs w:val="36"/>
        </w:rPr>
        <w:t xml:space="preserve"> dei lavori, quando però verrà il tempo della rivelazione del “mistero dei giusti”, allora la cosa diverrà chiara». </w:t>
      </w:r>
    </w:p>
    <w:p w14:paraId="4E958B69" w14:textId="77777777" w:rsidR="008C6631" w:rsidRDefault="008C6631" w:rsidP="001E738D">
      <w:pPr>
        <w:spacing w:line="240" w:lineRule="auto"/>
        <w:rPr>
          <w:rFonts w:cstheme="minorHAnsi"/>
          <w:sz w:val="36"/>
          <w:szCs w:val="36"/>
        </w:rPr>
      </w:pPr>
    </w:p>
    <w:p w14:paraId="6A37FEBC" w14:textId="2EDC2573" w:rsidR="001E738D" w:rsidRPr="00382A0C" w:rsidRDefault="001E738D" w:rsidP="001E738D">
      <w:pPr>
        <w:spacing w:line="240" w:lineRule="auto"/>
        <w:rPr>
          <w:rFonts w:cstheme="minorHAnsi"/>
          <w:sz w:val="36"/>
          <w:szCs w:val="36"/>
        </w:rPr>
      </w:pPr>
      <w:r w:rsidRPr="00382A0C">
        <w:rPr>
          <w:rFonts w:cstheme="minorHAnsi"/>
          <w:sz w:val="36"/>
          <w:szCs w:val="36"/>
        </w:rPr>
        <w:t>L’ebreo della diaspora, anche se osserva pienamente la Tor</w:t>
      </w:r>
      <w:r>
        <w:rPr>
          <w:rFonts w:cstheme="minorHAnsi"/>
          <w:sz w:val="36"/>
          <w:szCs w:val="36"/>
        </w:rPr>
        <w:t>a</w:t>
      </w:r>
      <w:r w:rsidRPr="00382A0C">
        <w:rPr>
          <w:rFonts w:cstheme="minorHAnsi"/>
          <w:sz w:val="36"/>
          <w:szCs w:val="36"/>
        </w:rPr>
        <w:t>h, resta privo di qualcosa; per il fatto stesso di vivere fuori dalla Terra d’Israele manca infatti di un aspetto determinante della sua ebraicità. Chiunque rinuncia all’idea di ritorno a Sion abdica alla propria fede nell’identità degli ebrei come nazione. Molti di coloro che aderiscono all’attuale rinascita nazionale ritengono di essere laici; tuttavia per Rav Kook un nazionalismo ebraico totalmente laico è semplicemente inimmaginabile, se esso fosse realmente possibile bisognerebbe infatti disperare della salvezza. Di contro, la santità della Terra costringerà anche i laici a diventar consapevoli di essere immersi e radicati nella vita di Dio.</w:t>
      </w:r>
    </w:p>
    <w:p w14:paraId="0134550F" w14:textId="77777777" w:rsidR="001E738D" w:rsidRPr="00382A0C" w:rsidRDefault="001E738D" w:rsidP="001E738D">
      <w:pPr>
        <w:pStyle w:val="Rientrocorpodeltesto"/>
        <w:spacing w:after="0"/>
        <w:ind w:left="0" w:firstLine="283"/>
        <w:jc w:val="both"/>
        <w:rPr>
          <w:rFonts w:asciiTheme="minorHAnsi" w:hAnsiTheme="minorHAnsi" w:cstheme="minorHAnsi"/>
          <w:sz w:val="36"/>
          <w:szCs w:val="36"/>
        </w:rPr>
      </w:pPr>
      <w:r w:rsidRPr="00382A0C">
        <w:rPr>
          <w:rFonts w:asciiTheme="minorHAnsi" w:hAnsiTheme="minorHAnsi" w:cstheme="minorHAnsi"/>
          <w:sz w:val="36"/>
          <w:szCs w:val="36"/>
        </w:rPr>
        <w:t xml:space="preserve">Quanto caratterizza in maniera particolare la posizione di questo pensatore sionista è il suo respiro universale e le sue forti riserve nei confronti della costruzione dello stato ebraico. Per Rav Kook la redenzione di Israele fa parte di un processo che abbraccia il mondo intero; la rinascita dello spirito ebraico rinnoverà tutte le altre nazioni e diverrà allora pienamente manifesta la benedizione di tutti i popoli in Abramo. Questa rinascita non potrà però assumere la «forma stato». L’accordo da lui prospettato a proposito dell’inserimento dei pionieri laici nel quadro della rinascita nazionale, stenta a riproporsi nel caso dello Stato, il quale, stabilito in un mondo non redento, </w:t>
      </w:r>
      <w:r w:rsidRPr="00382A0C">
        <w:rPr>
          <w:rFonts w:asciiTheme="minorHAnsi" w:hAnsiTheme="minorHAnsi" w:cstheme="minorHAnsi"/>
          <w:sz w:val="36"/>
          <w:szCs w:val="36"/>
        </w:rPr>
        <w:lastRenderedPageBreak/>
        <w:t>sarebbe costretto a ricorrere in modo sistematico alla forza. Esso perciò non potrebbe diventare uno Stato di giustizia e di diritto e non sarebbe perciò uno strumento della redenzione.</w:t>
      </w:r>
    </w:p>
    <w:p w14:paraId="5DCFDF50" w14:textId="77777777" w:rsidR="00B23C1A" w:rsidRDefault="00B23C1A" w:rsidP="001E738D">
      <w:pPr>
        <w:spacing w:line="240" w:lineRule="auto"/>
        <w:ind w:firstLine="284"/>
        <w:rPr>
          <w:rStyle w:val="text-to-speech"/>
          <w:rFonts w:cstheme="minorHAnsi"/>
          <w:color w:val="111111"/>
          <w:sz w:val="36"/>
          <w:szCs w:val="36"/>
        </w:rPr>
      </w:pPr>
    </w:p>
    <w:p w14:paraId="1C7CAB7A" w14:textId="77777777" w:rsidR="003A158B" w:rsidRPr="002E6D21" w:rsidRDefault="003A158B" w:rsidP="001E738D">
      <w:pPr>
        <w:spacing w:line="240" w:lineRule="auto"/>
        <w:ind w:firstLine="284"/>
        <w:rPr>
          <w:rStyle w:val="text-to-speech"/>
          <w:rFonts w:cstheme="minorHAnsi"/>
          <w:color w:val="111111"/>
          <w:sz w:val="36"/>
          <w:szCs w:val="36"/>
        </w:rPr>
      </w:pPr>
    </w:p>
    <w:p w14:paraId="414F344B" w14:textId="473FBEBA" w:rsidR="003A158B" w:rsidRDefault="003A158B" w:rsidP="003A158B">
      <w:pPr>
        <w:spacing w:line="240" w:lineRule="auto"/>
        <w:rPr>
          <w:rFonts w:cstheme="minorHAnsi"/>
          <w:sz w:val="36"/>
          <w:szCs w:val="36"/>
        </w:rPr>
      </w:pPr>
      <w:r w:rsidRPr="00382A0C">
        <w:rPr>
          <w:rFonts w:cstheme="minorHAnsi"/>
          <w:sz w:val="36"/>
          <w:szCs w:val="36"/>
        </w:rPr>
        <w:t>Già prima della nascita dello Stato d’Israele</w:t>
      </w:r>
      <w:r>
        <w:rPr>
          <w:rFonts w:cstheme="minorHAnsi"/>
          <w:sz w:val="36"/>
          <w:szCs w:val="36"/>
        </w:rPr>
        <w:t xml:space="preserve"> (1948)</w:t>
      </w:r>
      <w:r w:rsidRPr="00382A0C">
        <w:rPr>
          <w:rFonts w:cstheme="minorHAnsi"/>
          <w:sz w:val="36"/>
          <w:szCs w:val="36"/>
        </w:rPr>
        <w:t xml:space="preserve">, a risultare vincente sul piano ideologico fu il sionismo nazionalista. Ciò ebbe conseguenze anche sul modo di riassorbire l’utopia messianica. Quando, a seguito del compromesso nazional-religioso patrocinato da Ben Gurion, la componente rabbinica fu inserita a pieno titolo nelle strutture statuali, il riferimento messianico divenne, infatti, declinabile in modi istituzionali. L’eredità di Rav Kook fu, perciò, trascritta in termini che sarebbero risultati inaccettabili per il suo iniziatore. Infatti, dopo tredici anni dalla nascita dello Stato, il Gran Rabbinato decise di inserire nella liturgia sinagogale una preghiera, oggi ovunque recitata, che articolava in termini statuali la prospettiva messianica. Queste sono le sue parole iniziali: </w:t>
      </w:r>
    </w:p>
    <w:p w14:paraId="1695EB94" w14:textId="77777777" w:rsidR="003A158B" w:rsidRPr="006C5725" w:rsidRDefault="003A158B" w:rsidP="003A158B">
      <w:pPr>
        <w:spacing w:line="240" w:lineRule="auto"/>
        <w:rPr>
          <w:rFonts w:cstheme="minorHAnsi"/>
          <w:color w:val="C00000"/>
          <w:sz w:val="36"/>
          <w:szCs w:val="36"/>
        </w:rPr>
      </w:pPr>
      <w:r w:rsidRPr="006C5725">
        <w:rPr>
          <w:rFonts w:cstheme="minorHAnsi"/>
          <w:color w:val="C00000"/>
          <w:sz w:val="36"/>
          <w:szCs w:val="36"/>
        </w:rPr>
        <w:t xml:space="preserve">«Padre nostro che sei nei cieli, roccia d’Israele e suo redentore, benedici lo Stato d’Israele, inizio della fioritura della nostra redenzione». </w:t>
      </w:r>
    </w:p>
    <w:p w14:paraId="107B4770" w14:textId="77777777" w:rsidR="003A158B" w:rsidRDefault="003A158B" w:rsidP="003A158B">
      <w:pPr>
        <w:spacing w:line="240" w:lineRule="auto"/>
        <w:rPr>
          <w:rFonts w:cstheme="minorHAnsi"/>
          <w:color w:val="C00000"/>
          <w:sz w:val="36"/>
          <w:szCs w:val="36"/>
        </w:rPr>
      </w:pPr>
    </w:p>
    <w:p w14:paraId="2D5BC617" w14:textId="77777777" w:rsidR="0082001C" w:rsidRPr="006C5725" w:rsidRDefault="0082001C" w:rsidP="003A158B">
      <w:pPr>
        <w:spacing w:line="240" w:lineRule="auto"/>
        <w:rPr>
          <w:rFonts w:cstheme="minorHAnsi"/>
          <w:color w:val="C00000"/>
          <w:sz w:val="36"/>
          <w:szCs w:val="36"/>
        </w:rPr>
      </w:pPr>
    </w:p>
    <w:p w14:paraId="2509ADF6" w14:textId="051A5DEF" w:rsidR="0082001C" w:rsidRDefault="00DB42C5" w:rsidP="0082001C">
      <w:pPr>
        <w:spacing w:line="240" w:lineRule="auto"/>
        <w:ind w:firstLine="284"/>
        <w:rPr>
          <w:rFonts w:cstheme="minorHAnsi"/>
          <w:b/>
          <w:bCs/>
          <w:color w:val="E36C0A" w:themeColor="accent6" w:themeShade="BF"/>
          <w:sz w:val="36"/>
          <w:szCs w:val="36"/>
        </w:rPr>
      </w:pPr>
      <w:r>
        <w:rPr>
          <w:rFonts w:cstheme="minorHAnsi"/>
          <w:b/>
          <w:bCs/>
          <w:color w:val="E36C0A" w:themeColor="accent6" w:themeShade="BF"/>
          <w:sz w:val="36"/>
          <w:szCs w:val="36"/>
        </w:rPr>
        <w:t>4</w:t>
      </w:r>
      <w:r w:rsidR="008C6631">
        <w:rPr>
          <w:rFonts w:cstheme="minorHAnsi"/>
          <w:b/>
          <w:bCs/>
          <w:color w:val="E36C0A" w:themeColor="accent6" w:themeShade="BF"/>
          <w:sz w:val="36"/>
          <w:szCs w:val="36"/>
        </w:rPr>
        <w:t>.</w:t>
      </w:r>
      <w:r w:rsidR="0082001C" w:rsidRPr="0082001C">
        <w:rPr>
          <w:rFonts w:cstheme="minorHAnsi"/>
          <w:b/>
          <w:bCs/>
          <w:color w:val="E36C0A" w:themeColor="accent6" w:themeShade="BF"/>
          <w:sz w:val="36"/>
          <w:szCs w:val="36"/>
        </w:rPr>
        <w:t xml:space="preserve"> La svolta del 1967</w:t>
      </w:r>
    </w:p>
    <w:p w14:paraId="1F00AD43" w14:textId="77777777" w:rsidR="0082001C" w:rsidRPr="0082001C" w:rsidRDefault="0082001C" w:rsidP="0082001C">
      <w:pPr>
        <w:spacing w:line="240" w:lineRule="auto"/>
        <w:ind w:firstLine="284"/>
        <w:rPr>
          <w:rFonts w:cstheme="minorHAnsi"/>
          <w:b/>
          <w:bCs/>
          <w:color w:val="E36C0A" w:themeColor="accent6" w:themeShade="BF"/>
          <w:sz w:val="36"/>
          <w:szCs w:val="36"/>
        </w:rPr>
      </w:pPr>
    </w:p>
    <w:p w14:paraId="3F2A85AA" w14:textId="77777777" w:rsidR="0082001C" w:rsidRDefault="0082001C" w:rsidP="0082001C">
      <w:pPr>
        <w:pStyle w:val="Paragrafoelenco"/>
        <w:spacing w:line="240" w:lineRule="auto"/>
        <w:ind w:left="0" w:firstLine="284"/>
        <w:rPr>
          <w:rFonts w:cstheme="minorHAnsi"/>
          <w:sz w:val="36"/>
          <w:szCs w:val="36"/>
        </w:rPr>
      </w:pPr>
      <w:r w:rsidRPr="0082001C">
        <w:rPr>
          <w:rFonts w:cstheme="minorHAnsi"/>
          <w:color w:val="000000" w:themeColor="text1"/>
          <w:sz w:val="36"/>
          <w:szCs w:val="36"/>
        </w:rPr>
        <w:t xml:space="preserve">Per quanto la componente religiosa fosse inserita nelle strutture statali e avesse giocato un ruolo fondamentale nella definizione </w:t>
      </w:r>
      <w:r w:rsidRPr="002029E7">
        <w:rPr>
          <w:rFonts w:cstheme="minorHAnsi"/>
          <w:sz w:val="36"/>
          <w:szCs w:val="36"/>
        </w:rPr>
        <w:t xml:space="preserve">legislativa di chi è ebreo, essa, fino al 1967, non svolse nei confronti dei palestinesi un ruolo ideologico particolarmente aggressivo. Le cose mutarono a seguito della </w:t>
      </w:r>
      <w:r w:rsidRPr="002029E7">
        <w:rPr>
          <w:rFonts w:cstheme="minorHAnsi"/>
          <w:sz w:val="36"/>
          <w:szCs w:val="36"/>
        </w:rPr>
        <w:lastRenderedPageBreak/>
        <w:t xml:space="preserve">Guerra dei Sei giorni. A causa della strepitosa vittoria, letta dai fondamentalisti in chiave messianica, Israele si trovò a controllare ampi territori contraddistinti dalla presenza dei maggiori luoghi biblici, compresa Gerusalemme vecchia. </w:t>
      </w:r>
    </w:p>
    <w:p w14:paraId="0C869F4F" w14:textId="77777777" w:rsidR="008C6631" w:rsidRPr="008C6631" w:rsidRDefault="0082001C" w:rsidP="0082001C">
      <w:pPr>
        <w:pStyle w:val="Paragrafoelenco"/>
        <w:spacing w:line="240" w:lineRule="auto"/>
        <w:ind w:left="0" w:firstLine="284"/>
        <w:rPr>
          <w:rFonts w:cstheme="minorHAnsi"/>
          <w:color w:val="C00000"/>
          <w:sz w:val="36"/>
          <w:szCs w:val="36"/>
        </w:rPr>
      </w:pPr>
      <w:r w:rsidRPr="002029E7">
        <w:rPr>
          <w:rFonts w:cstheme="minorHAnsi"/>
          <w:sz w:val="36"/>
          <w:szCs w:val="36"/>
        </w:rPr>
        <w:t xml:space="preserve">La situazione diede un impulso decisivo al sorgere del cosiddetto messianismo territoriale, movimento che ebbe nel </w:t>
      </w:r>
      <w:bookmarkStart w:id="0" w:name="_Hlk172777839"/>
      <w:proofErr w:type="spellStart"/>
      <w:r w:rsidRPr="002029E7">
        <w:rPr>
          <w:rFonts w:cstheme="minorHAnsi"/>
          <w:i/>
          <w:iCs/>
          <w:sz w:val="36"/>
          <w:szCs w:val="36"/>
        </w:rPr>
        <w:t>Gush</w:t>
      </w:r>
      <w:proofErr w:type="spellEnd"/>
      <w:r w:rsidRPr="002029E7">
        <w:rPr>
          <w:rFonts w:cstheme="minorHAnsi"/>
          <w:sz w:val="36"/>
          <w:szCs w:val="36"/>
        </w:rPr>
        <w:t xml:space="preserve"> </w:t>
      </w:r>
      <w:proofErr w:type="spellStart"/>
      <w:r w:rsidRPr="002029E7">
        <w:rPr>
          <w:rFonts w:cstheme="minorHAnsi"/>
          <w:i/>
          <w:iCs/>
          <w:sz w:val="36"/>
          <w:szCs w:val="36"/>
        </w:rPr>
        <w:t>Emunim</w:t>
      </w:r>
      <w:proofErr w:type="spellEnd"/>
      <w:r w:rsidRPr="002029E7">
        <w:rPr>
          <w:rFonts w:cstheme="minorHAnsi"/>
          <w:sz w:val="36"/>
          <w:szCs w:val="36"/>
        </w:rPr>
        <w:t xml:space="preserve"> </w:t>
      </w:r>
      <w:bookmarkEnd w:id="0"/>
      <w:r w:rsidRPr="002029E7">
        <w:rPr>
          <w:rFonts w:cstheme="minorHAnsi"/>
          <w:sz w:val="36"/>
          <w:szCs w:val="36"/>
        </w:rPr>
        <w:t>(«Blocco dei fedeli»)</w:t>
      </w:r>
      <w:r w:rsidRPr="002029E7">
        <w:rPr>
          <w:rFonts w:cstheme="minorHAnsi"/>
          <w:i/>
          <w:iCs/>
          <w:sz w:val="36"/>
          <w:szCs w:val="36"/>
        </w:rPr>
        <w:t xml:space="preserve"> </w:t>
      </w:r>
      <w:r w:rsidRPr="002029E7">
        <w:rPr>
          <w:rFonts w:cstheme="minorHAnsi"/>
          <w:sz w:val="36"/>
          <w:szCs w:val="36"/>
        </w:rPr>
        <w:t xml:space="preserve">la sua manifestazione più nota. Nato ufficialmente nel 1974 nel kibbuz di Kfar </w:t>
      </w:r>
      <w:proofErr w:type="spellStart"/>
      <w:r w:rsidRPr="002029E7">
        <w:rPr>
          <w:rFonts w:cstheme="minorHAnsi"/>
          <w:sz w:val="36"/>
          <w:szCs w:val="36"/>
        </w:rPr>
        <w:t>Ezion</w:t>
      </w:r>
      <w:proofErr w:type="spellEnd"/>
      <w:r w:rsidRPr="002029E7">
        <w:rPr>
          <w:rFonts w:cstheme="minorHAnsi"/>
          <w:sz w:val="36"/>
          <w:szCs w:val="36"/>
        </w:rPr>
        <w:t xml:space="preserve">, primo insediamento ebraico nei territori occupati, il </w:t>
      </w:r>
      <w:proofErr w:type="spellStart"/>
      <w:r w:rsidRPr="002029E7">
        <w:rPr>
          <w:rFonts w:cstheme="minorHAnsi"/>
          <w:i/>
          <w:iCs/>
          <w:sz w:val="36"/>
          <w:szCs w:val="36"/>
        </w:rPr>
        <w:t>Gush</w:t>
      </w:r>
      <w:proofErr w:type="spellEnd"/>
      <w:r w:rsidRPr="002029E7">
        <w:rPr>
          <w:rFonts w:cstheme="minorHAnsi"/>
          <w:sz w:val="36"/>
          <w:szCs w:val="36"/>
        </w:rPr>
        <w:t xml:space="preserve"> </w:t>
      </w:r>
      <w:proofErr w:type="spellStart"/>
      <w:r w:rsidRPr="002029E7">
        <w:rPr>
          <w:rFonts w:cstheme="minorHAnsi"/>
          <w:i/>
          <w:iCs/>
          <w:sz w:val="36"/>
          <w:szCs w:val="36"/>
        </w:rPr>
        <w:t>Emunim</w:t>
      </w:r>
      <w:proofErr w:type="spellEnd"/>
      <w:r w:rsidRPr="002029E7">
        <w:rPr>
          <w:rFonts w:cstheme="minorHAnsi"/>
          <w:sz w:val="36"/>
          <w:szCs w:val="36"/>
        </w:rPr>
        <w:t xml:space="preserve"> ebbe come motto: «</w:t>
      </w:r>
      <w:r w:rsidRPr="008C6631">
        <w:rPr>
          <w:rFonts w:cstheme="minorHAnsi"/>
          <w:color w:val="C00000"/>
          <w:sz w:val="36"/>
          <w:szCs w:val="36"/>
        </w:rPr>
        <w:t xml:space="preserve">La terra d’Israele per il popolo d’Israele secondo la Torah d’Israele». </w:t>
      </w:r>
    </w:p>
    <w:p w14:paraId="7F6377A0" w14:textId="5F9259A9" w:rsidR="0082001C" w:rsidRPr="002029E7" w:rsidRDefault="0082001C" w:rsidP="0082001C">
      <w:pPr>
        <w:pStyle w:val="Paragrafoelenco"/>
        <w:spacing w:line="240" w:lineRule="auto"/>
        <w:ind w:left="0" w:firstLine="284"/>
        <w:rPr>
          <w:rFonts w:cstheme="minorHAnsi"/>
          <w:sz w:val="36"/>
          <w:szCs w:val="36"/>
        </w:rPr>
      </w:pPr>
      <w:r w:rsidRPr="002029E7">
        <w:rPr>
          <w:rFonts w:cstheme="minorHAnsi"/>
          <w:sz w:val="36"/>
          <w:szCs w:val="36"/>
        </w:rPr>
        <w:t xml:space="preserve">La sua prima guida spirituale fu Rav Zvi </w:t>
      </w:r>
      <w:proofErr w:type="spellStart"/>
      <w:r w:rsidRPr="002029E7">
        <w:rPr>
          <w:rFonts w:cstheme="minorHAnsi"/>
          <w:sz w:val="36"/>
          <w:szCs w:val="36"/>
        </w:rPr>
        <w:t>Yehudah</w:t>
      </w:r>
      <w:proofErr w:type="spellEnd"/>
      <w:r w:rsidRPr="002029E7">
        <w:rPr>
          <w:rFonts w:cstheme="minorHAnsi"/>
          <w:sz w:val="36"/>
          <w:szCs w:val="36"/>
        </w:rPr>
        <w:t xml:space="preserve"> </w:t>
      </w:r>
      <w:proofErr w:type="spellStart"/>
      <w:r w:rsidRPr="002029E7">
        <w:rPr>
          <w:rFonts w:cstheme="minorHAnsi"/>
          <w:sz w:val="36"/>
          <w:szCs w:val="36"/>
        </w:rPr>
        <w:t>Kook</w:t>
      </w:r>
      <w:proofErr w:type="spellEnd"/>
      <w:r w:rsidRPr="002029E7">
        <w:rPr>
          <w:rFonts w:cstheme="minorHAnsi"/>
          <w:sz w:val="36"/>
          <w:szCs w:val="36"/>
        </w:rPr>
        <w:t xml:space="preserve"> (figlio del già citato Abraham). Il Rav sostenne, in base alla Torah, il possesso </w:t>
      </w:r>
      <w:r w:rsidRPr="008C6631">
        <w:rPr>
          <w:rFonts w:cstheme="minorHAnsi"/>
          <w:color w:val="C00000"/>
          <w:sz w:val="36"/>
          <w:szCs w:val="36"/>
        </w:rPr>
        <w:t>inalienabile</w:t>
      </w:r>
      <w:r w:rsidRPr="002029E7">
        <w:rPr>
          <w:rFonts w:cstheme="minorHAnsi"/>
          <w:sz w:val="36"/>
          <w:szCs w:val="36"/>
        </w:rPr>
        <w:t xml:space="preserve"> di ogni porzione di territorio conquistato. È la visione conosciuta con l’espressione «Grande Israele» (in ebraico </w:t>
      </w:r>
      <w:proofErr w:type="spellStart"/>
      <w:r w:rsidRPr="002029E7">
        <w:rPr>
          <w:rFonts w:cstheme="minorHAnsi"/>
          <w:i/>
          <w:iCs/>
          <w:sz w:val="36"/>
          <w:szCs w:val="36"/>
        </w:rPr>
        <w:t>shelamah</w:t>
      </w:r>
      <w:proofErr w:type="spellEnd"/>
      <w:r w:rsidRPr="002029E7">
        <w:rPr>
          <w:rFonts w:cstheme="minorHAnsi"/>
          <w:sz w:val="36"/>
          <w:szCs w:val="36"/>
        </w:rPr>
        <w:t>:</w:t>
      </w:r>
      <w:r w:rsidRPr="002029E7">
        <w:rPr>
          <w:rFonts w:cstheme="minorHAnsi"/>
          <w:i/>
          <w:iCs/>
          <w:sz w:val="36"/>
          <w:szCs w:val="36"/>
        </w:rPr>
        <w:t xml:space="preserve"> </w:t>
      </w:r>
      <w:r w:rsidRPr="002029E7">
        <w:rPr>
          <w:rFonts w:cstheme="minorHAnsi"/>
          <w:sz w:val="36"/>
          <w:szCs w:val="36"/>
        </w:rPr>
        <w:t xml:space="preserve">«completa, integra»). Gli aderenti al </w:t>
      </w:r>
      <w:proofErr w:type="spellStart"/>
      <w:r w:rsidRPr="002029E7">
        <w:rPr>
          <w:rFonts w:cstheme="minorHAnsi"/>
          <w:i/>
          <w:iCs/>
          <w:sz w:val="36"/>
          <w:szCs w:val="36"/>
        </w:rPr>
        <w:t>Gush</w:t>
      </w:r>
      <w:proofErr w:type="spellEnd"/>
      <w:r w:rsidRPr="002029E7">
        <w:rPr>
          <w:rFonts w:cstheme="minorHAnsi"/>
          <w:i/>
          <w:iCs/>
          <w:sz w:val="36"/>
          <w:szCs w:val="36"/>
        </w:rPr>
        <w:t xml:space="preserve"> </w:t>
      </w:r>
      <w:proofErr w:type="spellStart"/>
      <w:r w:rsidRPr="002029E7">
        <w:rPr>
          <w:rFonts w:cstheme="minorHAnsi"/>
          <w:i/>
          <w:iCs/>
          <w:sz w:val="36"/>
          <w:szCs w:val="36"/>
        </w:rPr>
        <w:t>Emunim</w:t>
      </w:r>
      <w:proofErr w:type="spellEnd"/>
      <w:r w:rsidRPr="002029E7">
        <w:rPr>
          <w:rFonts w:cstheme="minorHAnsi"/>
          <w:i/>
          <w:iCs/>
          <w:sz w:val="36"/>
          <w:szCs w:val="36"/>
        </w:rPr>
        <w:t xml:space="preserve"> </w:t>
      </w:r>
      <w:r w:rsidRPr="002029E7">
        <w:rPr>
          <w:rFonts w:cstheme="minorHAnsi"/>
          <w:sz w:val="36"/>
          <w:szCs w:val="36"/>
        </w:rPr>
        <w:t>si sono impegnati a moltiplicare gli insediamenti ebraici nei territori occupati e hanno manifestato una concorde ostilità nei confronti dei palestinesi negando loro qualunque diritto ad amministrare autonomamente porzioni di territorio. L’orientamento etnico-messianico-territoriale si oppose radicalmente agli accordi di Oslo (1993). Non ci deve essere nessuno scambio tra pace e territori. Rav Menachem ha-Cohen propose al riguardo una formula riassuntiva: «</w:t>
      </w:r>
      <w:r w:rsidRPr="008C6631">
        <w:rPr>
          <w:rFonts w:cstheme="minorHAnsi"/>
          <w:color w:val="C00000"/>
          <w:sz w:val="36"/>
          <w:szCs w:val="36"/>
        </w:rPr>
        <w:t>non si può separare lo Stato ebraico dalla religione ebraica. Israele è una continuazione dello Stato ebraico storico, che fu basato sulla promessa di Dio ad Abramo</w:t>
      </w:r>
      <w:r w:rsidRPr="002029E7">
        <w:rPr>
          <w:rFonts w:cstheme="minorHAnsi"/>
          <w:sz w:val="36"/>
          <w:szCs w:val="36"/>
        </w:rPr>
        <w:t>».</w:t>
      </w:r>
      <w:r w:rsidRPr="002029E7">
        <w:rPr>
          <w:rStyle w:val="Rimandonotaapidipagina"/>
          <w:rFonts w:cstheme="minorHAnsi"/>
          <w:sz w:val="36"/>
          <w:szCs w:val="36"/>
        </w:rPr>
        <w:footnoteReference w:id="2"/>
      </w:r>
    </w:p>
    <w:p w14:paraId="25F13D59" w14:textId="6F5BB7A9" w:rsidR="0082001C" w:rsidRPr="002029E7" w:rsidRDefault="0082001C" w:rsidP="0082001C">
      <w:pPr>
        <w:pStyle w:val="Paragrafoelenco"/>
        <w:spacing w:line="240" w:lineRule="auto"/>
        <w:ind w:left="0" w:firstLine="284"/>
        <w:rPr>
          <w:rFonts w:cstheme="minorHAnsi"/>
          <w:sz w:val="36"/>
          <w:szCs w:val="36"/>
        </w:rPr>
      </w:pPr>
      <w:r w:rsidRPr="002029E7">
        <w:rPr>
          <w:rFonts w:cstheme="minorHAnsi"/>
          <w:sz w:val="36"/>
          <w:szCs w:val="36"/>
        </w:rPr>
        <w:t xml:space="preserve">Il tipo di fondamentalismo «messianico territoriale» va distinto da altri movimenti in cui prevale la prospettiva di un «fondamentalismo vendicativo» rivolto contro coloro che sono giudicati </w:t>
      </w:r>
      <w:r w:rsidRPr="002029E7">
        <w:rPr>
          <w:rFonts w:cstheme="minorHAnsi"/>
          <w:sz w:val="36"/>
          <w:szCs w:val="36"/>
        </w:rPr>
        <w:lastRenderedPageBreak/>
        <w:t xml:space="preserve">traditori dell’ebraismo; a questo gruppo è riconducibile Yigal Amir che nel 1995 assassinò il primo ministro israeliano </w:t>
      </w:r>
      <w:proofErr w:type="spellStart"/>
      <w:r w:rsidRPr="002029E7">
        <w:rPr>
          <w:rFonts w:cstheme="minorHAnsi"/>
          <w:sz w:val="36"/>
          <w:szCs w:val="36"/>
        </w:rPr>
        <w:t>Yizchaq</w:t>
      </w:r>
      <w:proofErr w:type="spellEnd"/>
      <w:r w:rsidRPr="002029E7">
        <w:rPr>
          <w:rFonts w:cstheme="minorHAnsi"/>
          <w:sz w:val="36"/>
          <w:szCs w:val="36"/>
        </w:rPr>
        <w:t xml:space="preserve"> Rabin reo di aver firmato accordi di pace con Arafat (capo dell’OLP). Apertamente razzista in base a una ideologia di tipo religioso, fu il rabbino Meir Kahane (1932-1990); la sua posizione, per quanto ufficialmente ripudiata, non ha cessato di lasciare strascichi. Alla sua visione si rifanno, infatti, ancora oggi i suprematisti israeliani, compreso Itamar Ben-</w:t>
      </w:r>
      <w:proofErr w:type="spellStart"/>
      <w:r w:rsidRPr="002029E7">
        <w:rPr>
          <w:rFonts w:cstheme="minorHAnsi"/>
          <w:sz w:val="36"/>
          <w:szCs w:val="36"/>
        </w:rPr>
        <w:t>Gvir</w:t>
      </w:r>
      <w:proofErr w:type="spellEnd"/>
      <w:r w:rsidRPr="002029E7">
        <w:rPr>
          <w:rFonts w:cstheme="minorHAnsi"/>
          <w:sz w:val="36"/>
          <w:szCs w:val="36"/>
        </w:rPr>
        <w:t xml:space="preserve">, ministro della Sicurezza </w:t>
      </w:r>
      <w:r w:rsidR="00C442D3">
        <w:rPr>
          <w:rFonts w:cstheme="minorHAnsi"/>
          <w:sz w:val="36"/>
          <w:szCs w:val="36"/>
        </w:rPr>
        <w:t xml:space="preserve">nazionale </w:t>
      </w:r>
      <w:r w:rsidRPr="002029E7">
        <w:rPr>
          <w:rFonts w:cstheme="minorHAnsi"/>
          <w:sz w:val="36"/>
          <w:szCs w:val="36"/>
        </w:rPr>
        <w:t>dell’attuale governo Netanyahu.</w:t>
      </w:r>
    </w:p>
    <w:p w14:paraId="086FB565" w14:textId="77777777" w:rsidR="009D633D" w:rsidRDefault="0082001C" w:rsidP="0082001C">
      <w:pPr>
        <w:pStyle w:val="Paragrafoelenco"/>
        <w:spacing w:line="240" w:lineRule="auto"/>
        <w:ind w:left="0" w:firstLine="284"/>
        <w:rPr>
          <w:rFonts w:cstheme="minorHAnsi"/>
          <w:sz w:val="36"/>
          <w:szCs w:val="36"/>
        </w:rPr>
      </w:pPr>
      <w:r w:rsidRPr="002029E7">
        <w:rPr>
          <w:rFonts w:cstheme="minorHAnsi"/>
          <w:sz w:val="36"/>
          <w:szCs w:val="36"/>
        </w:rPr>
        <w:t xml:space="preserve">La società israeliana è lungi dall’essere unitaria. In base a una statistica (da assumersi con la dovuta cautela) la situazione sarebbe la seguente: il 45,4% degli israeliani intervistati si definisce laica; il 19,3% poco osservante; il 13,7% religioso tradizionale; il 10,9% religioso; il 10,7% </w:t>
      </w:r>
      <w:proofErr w:type="spellStart"/>
      <w:r w:rsidRPr="002029E7">
        <w:rPr>
          <w:rFonts w:cstheme="minorHAnsi"/>
          <w:i/>
          <w:iCs/>
          <w:sz w:val="36"/>
          <w:szCs w:val="36"/>
        </w:rPr>
        <w:t>charedim</w:t>
      </w:r>
      <w:proofErr w:type="spellEnd"/>
      <w:r w:rsidRPr="002029E7">
        <w:rPr>
          <w:rFonts w:cstheme="minorHAnsi"/>
          <w:sz w:val="36"/>
          <w:szCs w:val="36"/>
        </w:rPr>
        <w:t>, ovvero sia ultraortodosso.</w:t>
      </w:r>
      <w:r w:rsidRPr="002029E7">
        <w:rPr>
          <w:rStyle w:val="Rimandonotaapidipagina"/>
          <w:rFonts w:cstheme="minorHAnsi"/>
          <w:sz w:val="36"/>
          <w:szCs w:val="36"/>
        </w:rPr>
        <w:footnoteReference w:id="3"/>
      </w:r>
      <w:r w:rsidRPr="002029E7">
        <w:rPr>
          <w:rFonts w:cstheme="minorHAnsi"/>
          <w:sz w:val="36"/>
          <w:szCs w:val="36"/>
        </w:rPr>
        <w:t xml:space="preserve"> A fronte sia di divisioni culturali e politiche sia di forti polarizzazioni interne, il principio unificante degli ebrei israeliani resta l’appartenenza a un medesimo Stato contraddistinto da un bilanciamento sempre più precario tra la componente ebraica e quella democratica.</w:t>
      </w:r>
    </w:p>
    <w:p w14:paraId="31851C7B" w14:textId="32CF5DB7" w:rsidR="009D633D" w:rsidRDefault="0082001C" w:rsidP="0082001C">
      <w:pPr>
        <w:pStyle w:val="Paragrafoelenco"/>
        <w:spacing w:line="240" w:lineRule="auto"/>
        <w:ind w:left="0" w:firstLine="284"/>
        <w:rPr>
          <w:rFonts w:eastAsiaTheme="majorEastAsia" w:cstheme="minorHAnsi"/>
          <w:bCs/>
          <w:sz w:val="36"/>
          <w:szCs w:val="36"/>
        </w:rPr>
      </w:pPr>
      <w:r w:rsidRPr="002029E7">
        <w:rPr>
          <w:rFonts w:cstheme="minorHAnsi"/>
          <w:sz w:val="36"/>
          <w:szCs w:val="36"/>
        </w:rPr>
        <w:t xml:space="preserve"> La Basic </w:t>
      </w:r>
      <w:proofErr w:type="spellStart"/>
      <w:r w:rsidRPr="002029E7">
        <w:rPr>
          <w:rFonts w:cstheme="minorHAnsi"/>
          <w:sz w:val="36"/>
          <w:szCs w:val="36"/>
        </w:rPr>
        <w:t>Law</w:t>
      </w:r>
      <w:proofErr w:type="spellEnd"/>
      <w:r w:rsidRPr="002029E7">
        <w:rPr>
          <w:rFonts w:cstheme="minorHAnsi"/>
          <w:sz w:val="36"/>
          <w:szCs w:val="36"/>
        </w:rPr>
        <w:t xml:space="preserve"> del 2018:</w:t>
      </w:r>
      <w:r w:rsidRPr="002029E7">
        <w:rPr>
          <w:rFonts w:eastAsiaTheme="majorEastAsia" w:cstheme="minorHAnsi"/>
          <w:b/>
          <w:i/>
          <w:iCs/>
          <w:color w:val="943634" w:themeColor="accent2" w:themeShade="BF"/>
          <w:sz w:val="36"/>
          <w:szCs w:val="36"/>
        </w:rPr>
        <w:t xml:space="preserve"> </w:t>
      </w:r>
      <w:r w:rsidRPr="002029E7">
        <w:rPr>
          <w:rFonts w:eastAsiaTheme="majorEastAsia" w:cstheme="minorHAnsi"/>
          <w:bCs/>
          <w:i/>
          <w:iCs/>
          <w:sz w:val="36"/>
          <w:szCs w:val="36"/>
        </w:rPr>
        <w:t xml:space="preserve">Israel </w:t>
      </w:r>
      <w:proofErr w:type="spellStart"/>
      <w:r w:rsidRPr="002029E7">
        <w:rPr>
          <w:rFonts w:eastAsiaTheme="majorEastAsia" w:cstheme="minorHAnsi"/>
          <w:bCs/>
          <w:i/>
          <w:iCs/>
          <w:sz w:val="36"/>
          <w:szCs w:val="36"/>
        </w:rPr>
        <w:t>as</w:t>
      </w:r>
      <w:proofErr w:type="spellEnd"/>
      <w:r w:rsidRPr="002029E7">
        <w:rPr>
          <w:rFonts w:eastAsiaTheme="majorEastAsia" w:cstheme="minorHAnsi"/>
          <w:bCs/>
          <w:i/>
          <w:iCs/>
          <w:sz w:val="36"/>
          <w:szCs w:val="36"/>
        </w:rPr>
        <w:t xml:space="preserve"> the Nation State of the </w:t>
      </w:r>
      <w:proofErr w:type="spellStart"/>
      <w:r w:rsidRPr="002029E7">
        <w:rPr>
          <w:rFonts w:eastAsiaTheme="majorEastAsia" w:cstheme="minorHAnsi"/>
          <w:bCs/>
          <w:i/>
          <w:iCs/>
          <w:sz w:val="36"/>
          <w:szCs w:val="36"/>
        </w:rPr>
        <w:t>Jewish</w:t>
      </w:r>
      <w:proofErr w:type="spellEnd"/>
      <w:r w:rsidRPr="002029E7">
        <w:rPr>
          <w:rFonts w:eastAsiaTheme="majorEastAsia" w:cstheme="minorHAnsi"/>
          <w:bCs/>
          <w:i/>
          <w:iCs/>
          <w:sz w:val="36"/>
          <w:szCs w:val="36"/>
        </w:rPr>
        <w:t xml:space="preserve"> People</w:t>
      </w:r>
      <w:r w:rsidRPr="002029E7">
        <w:rPr>
          <w:rFonts w:eastAsiaTheme="majorEastAsia" w:cstheme="minorHAnsi"/>
          <w:b/>
          <w:i/>
          <w:iCs/>
          <w:sz w:val="36"/>
          <w:szCs w:val="36"/>
        </w:rPr>
        <w:t xml:space="preserve"> </w:t>
      </w:r>
      <w:r w:rsidRPr="002029E7">
        <w:rPr>
          <w:rFonts w:eastAsiaTheme="majorEastAsia" w:cstheme="minorHAnsi"/>
          <w:bCs/>
          <w:sz w:val="36"/>
          <w:szCs w:val="36"/>
        </w:rPr>
        <w:t xml:space="preserve">afferma nel suo primo articolo che lo Stato di Israele è la «national home» del popolo ebraico in cui esso «realizza il suo diritto naturale, culturale, </w:t>
      </w:r>
      <w:r w:rsidRPr="00C442D3">
        <w:rPr>
          <w:rFonts w:eastAsiaTheme="majorEastAsia" w:cstheme="minorHAnsi"/>
          <w:bCs/>
          <w:color w:val="C00000"/>
          <w:sz w:val="36"/>
          <w:szCs w:val="36"/>
        </w:rPr>
        <w:t>religioso</w:t>
      </w:r>
      <w:r w:rsidRPr="002029E7">
        <w:rPr>
          <w:rFonts w:eastAsiaTheme="majorEastAsia" w:cstheme="minorHAnsi"/>
          <w:bCs/>
          <w:sz w:val="36"/>
          <w:szCs w:val="36"/>
        </w:rPr>
        <w:t xml:space="preserve"> e storico all’autodeterminazione», un diritto che è «unicamente del popolo ebraico». </w:t>
      </w:r>
      <w:r w:rsidR="009D633D">
        <w:rPr>
          <w:rFonts w:eastAsiaTheme="majorEastAsia" w:cstheme="minorHAnsi"/>
          <w:bCs/>
          <w:sz w:val="36"/>
          <w:szCs w:val="36"/>
        </w:rPr>
        <w:t xml:space="preserve"> La dichiarazione di Indipendenza del </w:t>
      </w:r>
      <w:r w:rsidR="00C442D3">
        <w:rPr>
          <w:rFonts w:eastAsiaTheme="majorEastAsia" w:cstheme="minorHAnsi"/>
          <w:bCs/>
          <w:sz w:val="36"/>
          <w:szCs w:val="36"/>
        </w:rPr>
        <w:t>1948 non</w:t>
      </w:r>
      <w:r w:rsidR="00EC0EA7">
        <w:rPr>
          <w:rFonts w:eastAsiaTheme="majorEastAsia" w:cstheme="minorHAnsi"/>
          <w:bCs/>
          <w:sz w:val="36"/>
          <w:szCs w:val="36"/>
        </w:rPr>
        <w:t xml:space="preserve"> prevedeva alcun diritto religioso:</w:t>
      </w:r>
      <w:r w:rsidR="009D633D">
        <w:rPr>
          <w:rFonts w:eastAsiaTheme="majorEastAsia" w:cstheme="minorHAnsi"/>
          <w:bCs/>
          <w:sz w:val="36"/>
          <w:szCs w:val="36"/>
        </w:rPr>
        <w:t xml:space="preserve"> </w:t>
      </w:r>
    </w:p>
    <w:p w14:paraId="39A8FA07" w14:textId="5AA25880" w:rsidR="009D633D" w:rsidRPr="00EC0EA7" w:rsidRDefault="009D633D" w:rsidP="0082001C">
      <w:pPr>
        <w:pStyle w:val="Paragrafoelenco"/>
        <w:spacing w:line="240" w:lineRule="auto"/>
        <w:ind w:left="0" w:firstLine="284"/>
        <w:rPr>
          <w:rFonts w:eastAsiaTheme="majorEastAsia" w:cstheme="minorHAnsi"/>
          <w:bCs/>
          <w:sz w:val="36"/>
          <w:szCs w:val="36"/>
        </w:rPr>
      </w:pPr>
      <w:r w:rsidRPr="00EC0EA7">
        <w:rPr>
          <w:rFonts w:eastAsiaTheme="majorEastAsia" w:cstheme="minorHAnsi"/>
          <w:bCs/>
          <w:sz w:val="36"/>
          <w:szCs w:val="36"/>
        </w:rPr>
        <w:t>«</w:t>
      </w:r>
      <w:r w:rsidRPr="00EC0EA7">
        <w:rPr>
          <w:rFonts w:eastAsia="Times New Roman"/>
          <w:sz w:val="36"/>
          <w:szCs w:val="36"/>
          <w:lang w:eastAsia="it-IT"/>
        </w:rPr>
        <w:t xml:space="preserve">Quindi noi, membri del Consiglio del Popolo, rappresentanti della Comunità Ebraica in </w:t>
      </w:r>
      <w:proofErr w:type="spellStart"/>
      <w:r w:rsidRPr="00EC0EA7">
        <w:rPr>
          <w:rFonts w:eastAsia="Times New Roman"/>
          <w:sz w:val="36"/>
          <w:szCs w:val="36"/>
          <w:lang w:eastAsia="it-IT"/>
        </w:rPr>
        <w:t>Eretz</w:t>
      </w:r>
      <w:proofErr w:type="spellEnd"/>
      <w:r w:rsidRPr="00EC0EA7">
        <w:rPr>
          <w:rFonts w:eastAsia="Times New Roman"/>
          <w:sz w:val="36"/>
          <w:szCs w:val="36"/>
          <w:lang w:eastAsia="it-IT"/>
        </w:rPr>
        <w:t xml:space="preserve"> Israel e del Movimento Sionista, siamo qui riuniti nel giorno della fine del Mandato Britannico su </w:t>
      </w:r>
      <w:proofErr w:type="spellStart"/>
      <w:r w:rsidRPr="00EC0EA7">
        <w:rPr>
          <w:rFonts w:eastAsia="Times New Roman"/>
          <w:sz w:val="36"/>
          <w:szCs w:val="36"/>
          <w:lang w:eastAsia="it-IT"/>
        </w:rPr>
        <w:lastRenderedPageBreak/>
        <w:t>Eretz</w:t>
      </w:r>
      <w:proofErr w:type="spellEnd"/>
      <w:r w:rsidRPr="00EC0EA7">
        <w:rPr>
          <w:rFonts w:eastAsia="Times New Roman"/>
          <w:sz w:val="36"/>
          <w:szCs w:val="36"/>
          <w:lang w:eastAsia="it-IT"/>
        </w:rPr>
        <w:t xml:space="preserve"> Israel e, in virtù del </w:t>
      </w:r>
      <w:r w:rsidRPr="00EC0EA7">
        <w:rPr>
          <w:rFonts w:eastAsia="Times New Roman"/>
          <w:color w:val="C00000"/>
          <w:sz w:val="36"/>
          <w:szCs w:val="36"/>
          <w:lang w:eastAsia="it-IT"/>
        </w:rPr>
        <w:t xml:space="preserve">nostro diritto naturale e storico </w:t>
      </w:r>
      <w:r w:rsidRPr="00EC0EA7">
        <w:rPr>
          <w:rFonts w:eastAsia="Times New Roman"/>
          <w:sz w:val="36"/>
          <w:szCs w:val="36"/>
          <w:lang w:eastAsia="it-IT"/>
        </w:rPr>
        <w:t xml:space="preserve">e della risoluzione dell'Assemblea Generale delle Nazioni Unite, dichiariamo la fondazione di uno Stato ebraico in </w:t>
      </w:r>
      <w:proofErr w:type="spellStart"/>
      <w:r w:rsidRPr="00EC0EA7">
        <w:rPr>
          <w:rFonts w:eastAsia="Times New Roman"/>
          <w:sz w:val="36"/>
          <w:szCs w:val="36"/>
          <w:lang w:eastAsia="it-IT"/>
        </w:rPr>
        <w:t>Eretz</w:t>
      </w:r>
      <w:proofErr w:type="spellEnd"/>
      <w:r w:rsidRPr="00EC0EA7">
        <w:rPr>
          <w:rFonts w:eastAsia="Times New Roman"/>
          <w:sz w:val="36"/>
          <w:szCs w:val="36"/>
          <w:lang w:eastAsia="it-IT"/>
        </w:rPr>
        <w:t xml:space="preserve"> Israel, che avrà il nome di Stato d'Israele</w:t>
      </w:r>
    </w:p>
    <w:p w14:paraId="39B671DF" w14:textId="6235DEC9" w:rsidR="0082001C" w:rsidRPr="002029E7" w:rsidRDefault="0082001C" w:rsidP="00C442D3">
      <w:pPr>
        <w:pStyle w:val="Paragrafoelenco"/>
        <w:spacing w:line="240" w:lineRule="auto"/>
        <w:ind w:left="0" w:firstLine="284"/>
        <w:rPr>
          <w:rFonts w:cstheme="minorHAnsi"/>
          <w:sz w:val="36"/>
          <w:szCs w:val="36"/>
        </w:rPr>
      </w:pPr>
      <w:r w:rsidRPr="002029E7">
        <w:rPr>
          <w:rFonts w:eastAsiaTheme="majorEastAsia" w:cstheme="minorHAnsi"/>
          <w:bCs/>
          <w:sz w:val="36"/>
          <w:szCs w:val="36"/>
        </w:rPr>
        <w:t xml:space="preserve">Nel settimo articolo </w:t>
      </w:r>
      <w:r w:rsidR="00EC0EA7">
        <w:rPr>
          <w:rFonts w:eastAsiaTheme="majorEastAsia" w:cstheme="minorHAnsi"/>
          <w:bCs/>
          <w:sz w:val="36"/>
          <w:szCs w:val="36"/>
        </w:rPr>
        <w:t xml:space="preserve">della </w:t>
      </w:r>
      <w:r w:rsidR="00EC0EA7" w:rsidRPr="002029E7">
        <w:rPr>
          <w:rFonts w:cstheme="minorHAnsi"/>
          <w:sz w:val="36"/>
          <w:szCs w:val="36"/>
        </w:rPr>
        <w:t xml:space="preserve">Basic </w:t>
      </w:r>
      <w:proofErr w:type="spellStart"/>
      <w:r w:rsidR="00EC0EA7" w:rsidRPr="002029E7">
        <w:rPr>
          <w:rFonts w:cstheme="minorHAnsi"/>
          <w:sz w:val="36"/>
          <w:szCs w:val="36"/>
        </w:rPr>
        <w:t>Law</w:t>
      </w:r>
      <w:proofErr w:type="spellEnd"/>
      <w:r w:rsidR="00EC0EA7" w:rsidRPr="002029E7">
        <w:rPr>
          <w:rFonts w:cstheme="minorHAnsi"/>
          <w:sz w:val="36"/>
          <w:szCs w:val="36"/>
        </w:rPr>
        <w:t xml:space="preserve"> del 2018</w:t>
      </w:r>
      <w:r w:rsidR="00EC0EA7">
        <w:rPr>
          <w:rFonts w:cstheme="minorHAnsi"/>
          <w:sz w:val="36"/>
          <w:szCs w:val="36"/>
        </w:rPr>
        <w:t xml:space="preserve"> </w:t>
      </w:r>
      <w:r w:rsidRPr="002029E7">
        <w:rPr>
          <w:rFonts w:eastAsiaTheme="majorEastAsia" w:cstheme="minorHAnsi"/>
          <w:bCs/>
          <w:sz w:val="36"/>
          <w:szCs w:val="36"/>
        </w:rPr>
        <w:t>si dichiara poi che lo sviluppo degli insediamenti (</w:t>
      </w:r>
    </w:p>
    <w:p w14:paraId="64704FC7" w14:textId="77777777" w:rsidR="003A158B" w:rsidRPr="00382A0C" w:rsidRDefault="003A158B" w:rsidP="003A158B">
      <w:pPr>
        <w:spacing w:line="240" w:lineRule="auto"/>
        <w:rPr>
          <w:rFonts w:cstheme="minorHAnsi"/>
          <w:b/>
          <w:bCs/>
          <w:color w:val="943634" w:themeColor="accent2" w:themeShade="BF"/>
          <w:sz w:val="36"/>
          <w:szCs w:val="36"/>
        </w:rPr>
      </w:pPr>
    </w:p>
    <w:p w14:paraId="3B22D80F" w14:textId="4B4609CD" w:rsidR="00B23C1A" w:rsidRDefault="00DB42C5" w:rsidP="003A158B">
      <w:pPr>
        <w:spacing w:line="240" w:lineRule="auto"/>
        <w:ind w:firstLine="284"/>
        <w:rPr>
          <w:rFonts w:cstheme="minorHAnsi"/>
          <w:b/>
          <w:color w:val="E36C0A" w:themeColor="accent6" w:themeShade="BF"/>
          <w:sz w:val="40"/>
          <w:szCs w:val="40"/>
        </w:rPr>
      </w:pPr>
      <w:r w:rsidRPr="00DB42C5">
        <w:rPr>
          <w:rFonts w:cstheme="minorHAnsi"/>
          <w:b/>
          <w:color w:val="E36C0A" w:themeColor="accent6" w:themeShade="BF"/>
          <w:sz w:val="40"/>
          <w:szCs w:val="40"/>
        </w:rPr>
        <w:t>Islam</w:t>
      </w:r>
    </w:p>
    <w:p w14:paraId="79B62D26" w14:textId="77777777" w:rsidR="00DB42C5" w:rsidRDefault="00DB42C5" w:rsidP="003A158B">
      <w:pPr>
        <w:spacing w:line="240" w:lineRule="auto"/>
        <w:ind w:firstLine="284"/>
        <w:rPr>
          <w:rFonts w:cstheme="minorHAnsi"/>
          <w:b/>
          <w:color w:val="E36C0A" w:themeColor="accent6" w:themeShade="BF"/>
          <w:sz w:val="40"/>
          <w:szCs w:val="40"/>
        </w:rPr>
      </w:pPr>
    </w:p>
    <w:p w14:paraId="5AF32D1F" w14:textId="26B6C562" w:rsidR="00DB42C5" w:rsidRDefault="00DB42C5" w:rsidP="00DB42C5">
      <w:pPr>
        <w:pStyle w:val="Paragrafoelenco"/>
        <w:numPr>
          <w:ilvl w:val="0"/>
          <w:numId w:val="1"/>
        </w:numPr>
        <w:spacing w:line="240" w:lineRule="auto"/>
        <w:rPr>
          <w:rFonts w:cstheme="minorHAnsi"/>
          <w:b/>
          <w:color w:val="E36C0A" w:themeColor="accent6" w:themeShade="BF"/>
          <w:sz w:val="36"/>
          <w:szCs w:val="36"/>
        </w:rPr>
      </w:pPr>
      <w:r w:rsidRPr="00DB42C5">
        <w:rPr>
          <w:rFonts w:cstheme="minorHAnsi"/>
          <w:b/>
          <w:color w:val="E36C0A" w:themeColor="accent6" w:themeShade="BF"/>
          <w:sz w:val="36"/>
          <w:szCs w:val="36"/>
        </w:rPr>
        <w:t xml:space="preserve">Due idee </w:t>
      </w:r>
      <w:r>
        <w:rPr>
          <w:rFonts w:cstheme="minorHAnsi"/>
          <w:b/>
          <w:color w:val="E36C0A" w:themeColor="accent6" w:themeShade="BF"/>
          <w:sz w:val="36"/>
          <w:szCs w:val="36"/>
        </w:rPr>
        <w:t>base.</w:t>
      </w:r>
    </w:p>
    <w:p w14:paraId="0D611EB3" w14:textId="4DB79964" w:rsidR="00352044" w:rsidRPr="00352044" w:rsidRDefault="00DB42C5" w:rsidP="007012ED">
      <w:pPr>
        <w:pStyle w:val="Paragrafoelenco"/>
        <w:numPr>
          <w:ilvl w:val="1"/>
          <w:numId w:val="1"/>
        </w:numPr>
        <w:spacing w:line="240" w:lineRule="auto"/>
        <w:jc w:val="left"/>
        <w:rPr>
          <w:rFonts w:cstheme="minorHAnsi"/>
          <w:b/>
          <w:color w:val="E36C0A" w:themeColor="accent6" w:themeShade="BF"/>
          <w:sz w:val="36"/>
          <w:szCs w:val="36"/>
        </w:rPr>
      </w:pPr>
      <w:proofErr w:type="spellStart"/>
      <w:r w:rsidRPr="007147BC">
        <w:rPr>
          <w:rFonts w:cstheme="minorHAnsi"/>
          <w:b/>
          <w:color w:val="E36C0A" w:themeColor="accent6" w:themeShade="BF"/>
          <w:sz w:val="36"/>
          <w:szCs w:val="36"/>
        </w:rPr>
        <w:t>D</w:t>
      </w:r>
      <w:r w:rsidR="00352044" w:rsidRPr="00352044">
        <w:rPr>
          <w:rFonts w:eastAsia="MingLiU"/>
          <w:b/>
          <w:bCs/>
          <w:iCs/>
          <w:color w:val="E36C0A" w:themeColor="accent6" w:themeShade="BF"/>
          <w:sz w:val="36"/>
          <w:szCs w:val="36"/>
        </w:rPr>
        <w:t>ā</w:t>
      </w:r>
      <w:r w:rsidRPr="007147BC">
        <w:rPr>
          <w:rFonts w:cstheme="minorHAnsi"/>
          <w:b/>
          <w:color w:val="E36C0A" w:themeColor="accent6" w:themeShade="BF"/>
          <w:sz w:val="36"/>
          <w:szCs w:val="36"/>
        </w:rPr>
        <w:t>r</w:t>
      </w:r>
      <w:proofErr w:type="spellEnd"/>
      <w:r w:rsidRPr="007147BC">
        <w:rPr>
          <w:rFonts w:cstheme="minorHAnsi"/>
          <w:b/>
          <w:color w:val="E36C0A" w:themeColor="accent6" w:themeShade="BF"/>
          <w:sz w:val="36"/>
          <w:szCs w:val="36"/>
        </w:rPr>
        <w:t xml:space="preserve"> a</w:t>
      </w:r>
      <w:r w:rsidR="007147BC" w:rsidRPr="007147BC">
        <w:rPr>
          <w:rFonts w:cstheme="minorHAnsi"/>
          <w:b/>
          <w:color w:val="E36C0A" w:themeColor="accent6" w:themeShade="BF"/>
          <w:sz w:val="36"/>
          <w:szCs w:val="36"/>
        </w:rPr>
        <w:t>l</w:t>
      </w:r>
      <w:r w:rsidRPr="007147BC">
        <w:rPr>
          <w:rFonts w:cstheme="minorHAnsi"/>
          <w:b/>
          <w:color w:val="E36C0A" w:themeColor="accent6" w:themeShade="BF"/>
          <w:sz w:val="36"/>
          <w:szCs w:val="36"/>
        </w:rPr>
        <w:t>-</w:t>
      </w:r>
      <w:r w:rsidR="007147BC" w:rsidRPr="007147BC">
        <w:rPr>
          <w:rFonts w:cstheme="minorHAnsi"/>
          <w:b/>
          <w:color w:val="E36C0A" w:themeColor="accent6" w:themeShade="BF"/>
          <w:sz w:val="36"/>
          <w:szCs w:val="36"/>
        </w:rPr>
        <w:t>islam (</w:t>
      </w:r>
      <w:r w:rsidR="007012ED">
        <w:rPr>
          <w:rFonts w:cstheme="minorHAnsi"/>
          <w:b/>
          <w:color w:val="E36C0A" w:themeColor="accent6" w:themeShade="BF"/>
          <w:sz w:val="36"/>
          <w:szCs w:val="36"/>
        </w:rPr>
        <w:t>Dimora</w:t>
      </w:r>
      <w:r w:rsidRPr="007147BC">
        <w:rPr>
          <w:rFonts w:cstheme="minorHAnsi"/>
          <w:b/>
          <w:color w:val="E36C0A" w:themeColor="accent6" w:themeShade="BF"/>
          <w:sz w:val="36"/>
          <w:szCs w:val="36"/>
        </w:rPr>
        <w:t xml:space="preserve"> dell’islam)</w:t>
      </w:r>
      <w:r w:rsidR="007012ED" w:rsidRPr="007012ED">
        <w:rPr>
          <w:rFonts w:eastAsia="MingLiU"/>
          <w:sz w:val="28"/>
          <w:szCs w:val="28"/>
        </w:rPr>
        <w:t xml:space="preserve"> </w:t>
      </w:r>
    </w:p>
    <w:p w14:paraId="1225A20A" w14:textId="6944F760" w:rsidR="00C442D3" w:rsidRPr="00A911A6" w:rsidRDefault="00352044" w:rsidP="00164FD6">
      <w:pPr>
        <w:spacing w:line="240" w:lineRule="auto"/>
        <w:ind w:firstLine="284"/>
        <w:rPr>
          <w:rFonts w:eastAsia="MingLiU"/>
          <w:sz w:val="36"/>
          <w:szCs w:val="36"/>
        </w:rPr>
      </w:pPr>
      <w:r w:rsidRPr="00352044">
        <w:rPr>
          <w:rFonts w:eastAsia="MingLiU"/>
          <w:sz w:val="36"/>
          <w:szCs w:val="36"/>
        </w:rPr>
        <w:t>Dal punto di vista islamico classico il mondo</w:t>
      </w:r>
      <w:r w:rsidR="007012ED" w:rsidRPr="00352044">
        <w:rPr>
          <w:rFonts w:eastAsia="MingLiU"/>
          <w:sz w:val="36"/>
          <w:szCs w:val="36"/>
        </w:rPr>
        <w:t xml:space="preserve"> </w:t>
      </w:r>
      <w:r w:rsidRPr="00352044">
        <w:rPr>
          <w:rFonts w:eastAsia="MingLiU"/>
          <w:sz w:val="36"/>
          <w:szCs w:val="36"/>
        </w:rPr>
        <w:t xml:space="preserve">si divide </w:t>
      </w:r>
      <w:r w:rsidR="007012ED" w:rsidRPr="00352044">
        <w:rPr>
          <w:rFonts w:eastAsia="MingLiU"/>
          <w:sz w:val="36"/>
          <w:szCs w:val="36"/>
        </w:rPr>
        <w:t>in due ambiti: «la Dimora dell'islam (</w:t>
      </w:r>
      <w:proofErr w:type="spellStart"/>
      <w:r w:rsidR="007012ED" w:rsidRPr="00352044">
        <w:rPr>
          <w:rFonts w:eastAsia="MingLiU"/>
          <w:i/>
          <w:sz w:val="36"/>
          <w:szCs w:val="36"/>
        </w:rPr>
        <w:t>Dār</w:t>
      </w:r>
      <w:proofErr w:type="spellEnd"/>
      <w:r w:rsidR="007012ED" w:rsidRPr="00352044">
        <w:rPr>
          <w:rFonts w:eastAsia="MingLiU"/>
          <w:i/>
          <w:sz w:val="36"/>
          <w:szCs w:val="36"/>
        </w:rPr>
        <w:t xml:space="preserve"> al-islam</w:t>
      </w:r>
      <w:r w:rsidR="007012ED" w:rsidRPr="00352044">
        <w:rPr>
          <w:rFonts w:eastAsia="MingLiU"/>
          <w:sz w:val="36"/>
          <w:szCs w:val="36"/>
        </w:rPr>
        <w:t>)» e «la Dimora della guerra (</w:t>
      </w:r>
      <w:proofErr w:type="spellStart"/>
      <w:r w:rsidR="007012ED" w:rsidRPr="00352044">
        <w:rPr>
          <w:rFonts w:eastAsia="MingLiU"/>
          <w:i/>
          <w:sz w:val="36"/>
          <w:szCs w:val="36"/>
        </w:rPr>
        <w:t>Dār</w:t>
      </w:r>
      <w:proofErr w:type="spellEnd"/>
      <w:r w:rsidR="007012ED" w:rsidRPr="00352044">
        <w:rPr>
          <w:rFonts w:eastAsia="MingLiU"/>
          <w:i/>
          <w:sz w:val="36"/>
          <w:szCs w:val="36"/>
        </w:rPr>
        <w:t xml:space="preserve"> al-</w:t>
      </w:r>
      <w:proofErr w:type="spellStart"/>
      <w:r w:rsidR="007012ED" w:rsidRPr="00352044">
        <w:rPr>
          <w:rFonts w:eastAsia="MingLiU"/>
          <w:i/>
          <w:sz w:val="36"/>
          <w:szCs w:val="36"/>
        </w:rPr>
        <w:t>ḥarb</w:t>
      </w:r>
      <w:proofErr w:type="spellEnd"/>
      <w:r w:rsidR="007012ED" w:rsidRPr="00352044">
        <w:rPr>
          <w:rFonts w:eastAsia="MingLiU"/>
          <w:sz w:val="36"/>
          <w:szCs w:val="36"/>
        </w:rPr>
        <w:t xml:space="preserve">)». Ciò </w:t>
      </w:r>
      <w:r w:rsidR="008C1F39">
        <w:rPr>
          <w:rFonts w:eastAsia="MingLiU"/>
          <w:sz w:val="36"/>
          <w:szCs w:val="36"/>
        </w:rPr>
        <w:t>comporta</w:t>
      </w:r>
      <w:r w:rsidR="007012ED" w:rsidRPr="00352044">
        <w:rPr>
          <w:rFonts w:eastAsia="MingLiU"/>
          <w:sz w:val="36"/>
          <w:szCs w:val="36"/>
        </w:rPr>
        <w:t xml:space="preserve"> che l'</w:t>
      </w:r>
      <w:r w:rsidR="007012ED" w:rsidRPr="00352044">
        <w:rPr>
          <w:rFonts w:eastAsia="MingLiU"/>
          <w:i/>
          <w:sz w:val="36"/>
          <w:szCs w:val="36"/>
        </w:rPr>
        <w:t>umma</w:t>
      </w:r>
      <w:r w:rsidR="007012ED" w:rsidRPr="00352044">
        <w:rPr>
          <w:rFonts w:eastAsia="MingLiU"/>
          <w:sz w:val="36"/>
          <w:szCs w:val="36"/>
        </w:rPr>
        <w:t xml:space="preserve"> </w:t>
      </w:r>
      <w:r>
        <w:rPr>
          <w:rFonts w:eastAsia="MingLiU"/>
          <w:sz w:val="36"/>
          <w:szCs w:val="36"/>
        </w:rPr>
        <w:t xml:space="preserve">(comunità </w:t>
      </w:r>
      <w:r w:rsidR="00C442D3">
        <w:rPr>
          <w:rFonts w:eastAsia="MingLiU"/>
          <w:sz w:val="36"/>
          <w:szCs w:val="36"/>
        </w:rPr>
        <w:t>musulmana</w:t>
      </w:r>
      <w:r>
        <w:rPr>
          <w:rFonts w:eastAsia="MingLiU"/>
          <w:sz w:val="36"/>
          <w:szCs w:val="36"/>
        </w:rPr>
        <w:t xml:space="preserve">) </w:t>
      </w:r>
      <w:r w:rsidR="007012ED" w:rsidRPr="00352044">
        <w:rPr>
          <w:rFonts w:eastAsia="MingLiU"/>
          <w:sz w:val="36"/>
          <w:szCs w:val="36"/>
        </w:rPr>
        <w:t xml:space="preserve">sia dotata di una dimensione territoriale. </w:t>
      </w:r>
      <w:bookmarkStart w:id="1" w:name="_Hlk198117735"/>
      <w:r w:rsidR="00A911A6" w:rsidRPr="00147ED3">
        <w:rPr>
          <w:rFonts w:eastAsia="MingLiU"/>
          <w:sz w:val="28"/>
          <w:szCs w:val="28"/>
        </w:rPr>
        <w:t xml:space="preserve"> </w:t>
      </w:r>
      <w:bookmarkEnd w:id="1"/>
      <w:r w:rsidR="00A911A6" w:rsidRPr="00A911A6">
        <w:rPr>
          <w:rFonts w:eastAsia="MingLiU"/>
          <w:sz w:val="36"/>
          <w:szCs w:val="36"/>
        </w:rPr>
        <w:t>La definizione non implica che in essa si debbano attuare sempre «guerre guerreggiate». La qualifica afferma soltanto che la condizione di pace rientra comunque nella categoria della tregua. È certamente pensabile che ci siano tregue prive di scadenze o di lunghissima durata, ciò non toglie che la loro condizione</w:t>
      </w:r>
      <w:r w:rsidR="00A911A6">
        <w:rPr>
          <w:rFonts w:eastAsia="MingLiU"/>
          <w:sz w:val="36"/>
          <w:szCs w:val="36"/>
        </w:rPr>
        <w:t xml:space="preserve"> sia temporanea-</w:t>
      </w:r>
    </w:p>
    <w:p w14:paraId="56166462" w14:textId="5A75CDA4" w:rsidR="00DB42C5" w:rsidRDefault="007012ED" w:rsidP="00164FD6">
      <w:pPr>
        <w:spacing w:line="240" w:lineRule="auto"/>
        <w:ind w:firstLine="0"/>
        <w:rPr>
          <w:rFonts w:eastAsia="MingLiU"/>
          <w:sz w:val="36"/>
          <w:szCs w:val="36"/>
        </w:rPr>
      </w:pPr>
      <w:r w:rsidRPr="00352044">
        <w:rPr>
          <w:rFonts w:eastAsia="MingLiU"/>
          <w:sz w:val="36"/>
          <w:szCs w:val="36"/>
        </w:rPr>
        <w:t xml:space="preserve">La riconquista di Mecca e la purificazione della </w:t>
      </w:r>
      <w:proofErr w:type="spellStart"/>
      <w:r w:rsidRPr="00352044">
        <w:rPr>
          <w:rFonts w:eastAsia="MingLiU"/>
          <w:sz w:val="36"/>
          <w:szCs w:val="36"/>
        </w:rPr>
        <w:t>Ka‘ba</w:t>
      </w:r>
      <w:proofErr w:type="spellEnd"/>
      <w:r w:rsidRPr="00352044">
        <w:rPr>
          <w:rFonts w:eastAsia="MingLiU"/>
          <w:sz w:val="36"/>
          <w:szCs w:val="36"/>
        </w:rPr>
        <w:t xml:space="preserve"> hanno consentito all'intera l'</w:t>
      </w:r>
      <w:r w:rsidRPr="00352044">
        <w:rPr>
          <w:rFonts w:eastAsia="MingLiU"/>
          <w:i/>
          <w:sz w:val="36"/>
          <w:szCs w:val="36"/>
        </w:rPr>
        <w:t>umma</w:t>
      </w:r>
      <w:r w:rsidRPr="00352044">
        <w:rPr>
          <w:rFonts w:eastAsia="MingLiU"/>
          <w:sz w:val="36"/>
          <w:szCs w:val="36"/>
        </w:rPr>
        <w:t xml:space="preserve"> di essere dotata di un centro territoriale. Da quell'evento</w:t>
      </w:r>
      <w:r w:rsidR="008C1F39">
        <w:rPr>
          <w:rFonts w:eastAsia="MingLiU"/>
          <w:sz w:val="36"/>
          <w:szCs w:val="36"/>
        </w:rPr>
        <w:t>,</w:t>
      </w:r>
      <w:r w:rsidRPr="00352044">
        <w:rPr>
          <w:rFonts w:eastAsia="MingLiU"/>
          <w:sz w:val="36"/>
          <w:szCs w:val="36"/>
        </w:rPr>
        <w:t xml:space="preserve"> collocato nella prima metà del VII secolo</w:t>
      </w:r>
      <w:r w:rsidR="008C1F39">
        <w:rPr>
          <w:rFonts w:eastAsia="MingLiU"/>
          <w:sz w:val="36"/>
          <w:szCs w:val="36"/>
        </w:rPr>
        <w:t>,</w:t>
      </w:r>
      <w:r w:rsidRPr="00352044">
        <w:rPr>
          <w:rFonts w:eastAsia="MingLiU"/>
          <w:sz w:val="36"/>
          <w:szCs w:val="36"/>
        </w:rPr>
        <w:t xml:space="preserve"> resta inconcepibile che il cuore della «Dimora dell'islam» non sia sotto un governo musulmano. La «Dimora» può espandersi potenzialmente a tutta la superficie terrestre; tuttavia essa, estesa o ristretta che sia, sarà comunque sempre dotata di un centro insostituibile. L'altra parte del mondo è chiamata «Dimora della guerra (</w:t>
      </w:r>
      <w:proofErr w:type="spellStart"/>
      <w:r w:rsidRPr="00352044">
        <w:rPr>
          <w:rFonts w:eastAsia="MingLiU"/>
          <w:i/>
          <w:sz w:val="36"/>
          <w:szCs w:val="36"/>
        </w:rPr>
        <w:t>ḥarb</w:t>
      </w:r>
      <w:proofErr w:type="spellEnd"/>
      <w:r w:rsidRPr="00352044">
        <w:rPr>
          <w:rFonts w:eastAsia="MingLiU"/>
          <w:i/>
          <w:sz w:val="36"/>
          <w:szCs w:val="36"/>
        </w:rPr>
        <w:t xml:space="preserve"> </w:t>
      </w:r>
      <w:r w:rsidRPr="00352044">
        <w:rPr>
          <w:rFonts w:eastAsia="MingLiU"/>
          <w:sz w:val="36"/>
          <w:szCs w:val="36"/>
        </w:rPr>
        <w:t xml:space="preserve">non </w:t>
      </w:r>
      <w:r w:rsidRPr="00352044">
        <w:rPr>
          <w:rFonts w:eastAsia="MingLiU"/>
          <w:i/>
          <w:sz w:val="36"/>
          <w:szCs w:val="36"/>
        </w:rPr>
        <w:t>jihād</w:t>
      </w:r>
      <w:r w:rsidRPr="00352044">
        <w:rPr>
          <w:rFonts w:eastAsia="MingLiU"/>
          <w:sz w:val="36"/>
          <w:szCs w:val="36"/>
        </w:rPr>
        <w:t>)».</w:t>
      </w:r>
    </w:p>
    <w:p w14:paraId="730DD0A4" w14:textId="77777777" w:rsidR="00C442D3" w:rsidRDefault="00352044" w:rsidP="00164FD6">
      <w:pPr>
        <w:spacing w:line="240" w:lineRule="auto"/>
        <w:ind w:firstLine="0"/>
        <w:rPr>
          <w:rFonts w:eastAsia="MingLiU"/>
          <w:sz w:val="36"/>
          <w:szCs w:val="36"/>
        </w:rPr>
      </w:pPr>
      <w:r>
        <w:rPr>
          <w:rFonts w:eastAsia="MingLiU"/>
          <w:sz w:val="36"/>
          <w:szCs w:val="36"/>
        </w:rPr>
        <w:lastRenderedPageBreak/>
        <w:t xml:space="preserve">Secondo islam sunnita fa parte integrante e incedibile della «Dimora dell’islam» tutto il territorio conquistato dai primi quattro successori di Muhammad: «i califfi ben diretti». </w:t>
      </w:r>
    </w:p>
    <w:p w14:paraId="05F43981" w14:textId="45F5C97B" w:rsidR="00352044" w:rsidRPr="00EB557F" w:rsidRDefault="00C442D3" w:rsidP="00164FD6">
      <w:pPr>
        <w:spacing w:line="240" w:lineRule="auto"/>
        <w:ind w:firstLine="0"/>
        <w:rPr>
          <w:rFonts w:eastAsia="MingLiU" w:cstheme="minorHAnsi"/>
          <w:sz w:val="36"/>
          <w:szCs w:val="36"/>
        </w:rPr>
      </w:pPr>
      <w:r>
        <w:rPr>
          <w:rFonts w:eastAsia="MingLiU"/>
          <w:sz w:val="36"/>
          <w:szCs w:val="36"/>
        </w:rPr>
        <w:t xml:space="preserve">In base alla </w:t>
      </w:r>
      <w:r w:rsidR="00EB557F">
        <w:rPr>
          <w:rFonts w:eastAsia="MingLiU"/>
          <w:sz w:val="36"/>
          <w:szCs w:val="36"/>
        </w:rPr>
        <w:t xml:space="preserve">storiografia musulmana </w:t>
      </w:r>
      <w:r w:rsidR="00EB557F">
        <w:rPr>
          <w:rFonts w:cstheme="minorHAnsi"/>
          <w:color w:val="202122"/>
          <w:sz w:val="36"/>
          <w:szCs w:val="36"/>
          <w:shd w:val="clear" w:color="auto" w:fill="FFFFFF"/>
        </w:rPr>
        <w:t>n</w:t>
      </w:r>
      <w:r w:rsidR="00EB557F" w:rsidRPr="00EB557F">
        <w:rPr>
          <w:rFonts w:cstheme="minorHAnsi"/>
          <w:color w:val="202122"/>
          <w:sz w:val="36"/>
          <w:szCs w:val="36"/>
          <w:shd w:val="clear" w:color="auto" w:fill="FFFFFF"/>
        </w:rPr>
        <w:t>el mese di aprile 637, il</w:t>
      </w:r>
      <w:r w:rsidR="00EB557F">
        <w:rPr>
          <w:rFonts w:cstheme="minorHAnsi"/>
          <w:color w:val="202122"/>
          <w:sz w:val="36"/>
          <w:szCs w:val="36"/>
          <w:shd w:val="clear" w:color="auto" w:fill="FFFFFF"/>
        </w:rPr>
        <w:t xml:space="preserve"> secondo </w:t>
      </w:r>
      <w:r w:rsidR="00EB557F" w:rsidRPr="00EB557F">
        <w:rPr>
          <w:rFonts w:cstheme="minorHAnsi"/>
          <w:color w:val="202122"/>
          <w:sz w:val="36"/>
          <w:szCs w:val="36"/>
          <w:shd w:val="clear" w:color="auto" w:fill="FFFFFF"/>
        </w:rPr>
        <w:t xml:space="preserve"> califfo </w:t>
      </w:r>
      <w:hyperlink r:id="rId7" w:tooltip="ʿUmar ibn al-Khaṭṭāb" w:history="1">
        <w:r w:rsidR="00EB557F" w:rsidRPr="00EB557F">
          <w:rPr>
            <w:rStyle w:val="Collegamentoipertestuale"/>
            <w:rFonts w:cstheme="minorHAnsi"/>
            <w:color w:val="3366CC"/>
            <w:sz w:val="36"/>
            <w:szCs w:val="36"/>
            <w:shd w:val="clear" w:color="auto" w:fill="FFFFFF"/>
          </w:rPr>
          <w:t>ʿ</w:t>
        </w:r>
        <w:r w:rsidR="00EB557F" w:rsidRPr="00EB557F">
          <w:rPr>
            <w:rStyle w:val="Collegamentoipertestuale"/>
            <w:rFonts w:cstheme="minorHAnsi"/>
            <w:color w:val="auto"/>
            <w:sz w:val="36"/>
            <w:szCs w:val="36"/>
            <w:u w:val="none"/>
            <w:shd w:val="clear" w:color="auto" w:fill="FFFFFF"/>
          </w:rPr>
          <w:t>Umar ibn al-Khaṭṭāb</w:t>
        </w:r>
      </w:hyperlink>
      <w:r w:rsidR="00EB557F" w:rsidRPr="00EB557F">
        <w:rPr>
          <w:rFonts w:cstheme="minorHAnsi"/>
          <w:color w:val="202122"/>
          <w:sz w:val="36"/>
          <w:szCs w:val="36"/>
          <w:shd w:val="clear" w:color="auto" w:fill="FFFFFF"/>
        </w:rPr>
        <w:t> si recò di persona a Gerusalemme per ottenere la sottomissione della città.</w:t>
      </w:r>
      <w:r w:rsidR="00EB557F">
        <w:rPr>
          <w:rFonts w:cstheme="minorHAnsi"/>
          <w:color w:val="202122"/>
          <w:sz w:val="36"/>
          <w:szCs w:val="36"/>
          <w:shd w:val="clear" w:color="auto" w:fill="FFFFFF"/>
        </w:rPr>
        <w:t xml:space="preserve"> Gerusalemme e la Palestina </w:t>
      </w:r>
      <w:r w:rsidR="00B0447C">
        <w:rPr>
          <w:rFonts w:cstheme="minorHAnsi"/>
          <w:color w:val="202122"/>
          <w:sz w:val="36"/>
          <w:szCs w:val="36"/>
          <w:shd w:val="clear" w:color="auto" w:fill="FFFFFF"/>
        </w:rPr>
        <w:t>rientrano quindi</w:t>
      </w:r>
      <w:r>
        <w:rPr>
          <w:rFonts w:cstheme="minorHAnsi"/>
          <w:color w:val="202122"/>
          <w:sz w:val="36"/>
          <w:szCs w:val="36"/>
          <w:shd w:val="clear" w:color="auto" w:fill="FFFFFF"/>
        </w:rPr>
        <w:t xml:space="preserve"> in</w:t>
      </w:r>
      <w:r w:rsidR="00EB557F">
        <w:rPr>
          <w:rFonts w:cstheme="minorHAnsi"/>
          <w:color w:val="202122"/>
          <w:sz w:val="36"/>
          <w:szCs w:val="36"/>
          <w:shd w:val="clear" w:color="auto" w:fill="FFFFFF"/>
        </w:rPr>
        <w:t xml:space="preserve"> un</w:t>
      </w:r>
      <w:r>
        <w:rPr>
          <w:rFonts w:cstheme="minorHAnsi"/>
          <w:color w:val="202122"/>
          <w:sz w:val="36"/>
          <w:szCs w:val="36"/>
          <w:shd w:val="clear" w:color="auto" w:fill="FFFFFF"/>
        </w:rPr>
        <w:t>o spazio territoriale</w:t>
      </w:r>
      <w:r w:rsidR="00EB557F">
        <w:rPr>
          <w:rFonts w:cstheme="minorHAnsi"/>
          <w:color w:val="202122"/>
          <w:sz w:val="36"/>
          <w:szCs w:val="36"/>
          <w:shd w:val="clear" w:color="auto" w:fill="FFFFFF"/>
        </w:rPr>
        <w:t xml:space="preserve"> che</w:t>
      </w:r>
      <w:r>
        <w:rPr>
          <w:rFonts w:cstheme="minorHAnsi"/>
          <w:color w:val="202122"/>
          <w:sz w:val="36"/>
          <w:szCs w:val="36"/>
          <w:shd w:val="clear" w:color="auto" w:fill="FFFFFF"/>
        </w:rPr>
        <w:t>,</w:t>
      </w:r>
      <w:r w:rsidR="00EB557F">
        <w:rPr>
          <w:rFonts w:cstheme="minorHAnsi"/>
          <w:color w:val="202122"/>
          <w:sz w:val="36"/>
          <w:szCs w:val="36"/>
          <w:shd w:val="clear" w:color="auto" w:fill="FFFFFF"/>
        </w:rPr>
        <w:t xml:space="preserve"> in linea di principio</w:t>
      </w:r>
      <w:r>
        <w:rPr>
          <w:rFonts w:cstheme="minorHAnsi"/>
          <w:color w:val="202122"/>
          <w:sz w:val="36"/>
          <w:szCs w:val="36"/>
          <w:shd w:val="clear" w:color="auto" w:fill="FFFFFF"/>
        </w:rPr>
        <w:t>,</w:t>
      </w:r>
      <w:r w:rsidR="00EB557F">
        <w:rPr>
          <w:rFonts w:cstheme="minorHAnsi"/>
          <w:color w:val="202122"/>
          <w:sz w:val="36"/>
          <w:szCs w:val="36"/>
          <w:shd w:val="clear" w:color="auto" w:fill="FFFFFF"/>
        </w:rPr>
        <w:t xml:space="preserve"> dovrebbe essere governato solo da musulmani.</w:t>
      </w:r>
    </w:p>
    <w:p w14:paraId="436BE0DC" w14:textId="513E7ED3" w:rsidR="00352044" w:rsidRPr="00EB557F" w:rsidRDefault="00352044" w:rsidP="00352044">
      <w:pPr>
        <w:spacing w:line="240" w:lineRule="auto"/>
        <w:ind w:firstLine="0"/>
        <w:jc w:val="left"/>
        <w:rPr>
          <w:rFonts w:eastAsia="MingLiU" w:cstheme="minorHAnsi"/>
          <w:sz w:val="36"/>
          <w:szCs w:val="36"/>
        </w:rPr>
      </w:pPr>
    </w:p>
    <w:p w14:paraId="178A0BC1" w14:textId="77777777" w:rsidR="00352044" w:rsidRPr="00352044" w:rsidRDefault="00352044" w:rsidP="00352044">
      <w:pPr>
        <w:spacing w:line="240" w:lineRule="auto"/>
        <w:ind w:left="284" w:firstLine="0"/>
        <w:jc w:val="left"/>
        <w:rPr>
          <w:rFonts w:cstheme="minorHAnsi"/>
          <w:b/>
          <w:color w:val="E36C0A" w:themeColor="accent6" w:themeShade="BF"/>
          <w:sz w:val="36"/>
          <w:szCs w:val="36"/>
        </w:rPr>
      </w:pPr>
    </w:p>
    <w:p w14:paraId="44965861" w14:textId="7431F34A" w:rsidR="007147BC" w:rsidRPr="00352044" w:rsidRDefault="007147BC" w:rsidP="007147BC">
      <w:pPr>
        <w:pStyle w:val="Paragrafoelenco"/>
        <w:numPr>
          <w:ilvl w:val="1"/>
          <w:numId w:val="1"/>
        </w:numPr>
        <w:spacing w:line="240" w:lineRule="auto"/>
        <w:rPr>
          <w:rFonts w:cstheme="minorHAnsi"/>
          <w:b/>
          <w:color w:val="E36C0A" w:themeColor="accent6" w:themeShade="BF"/>
          <w:sz w:val="36"/>
          <w:szCs w:val="36"/>
        </w:rPr>
      </w:pPr>
      <w:r w:rsidRPr="00352044">
        <w:rPr>
          <w:rFonts w:cstheme="minorHAnsi"/>
          <w:b/>
          <w:color w:val="E36C0A" w:themeColor="accent6" w:themeShade="BF"/>
          <w:sz w:val="36"/>
          <w:szCs w:val="36"/>
        </w:rPr>
        <w:t>Jihad</w:t>
      </w:r>
    </w:p>
    <w:p w14:paraId="60987BC7" w14:textId="3CF1615D" w:rsidR="00352044" w:rsidRPr="00B0447C" w:rsidRDefault="00A911A6" w:rsidP="00164FD6">
      <w:pPr>
        <w:spacing w:line="240" w:lineRule="auto"/>
        <w:ind w:firstLine="142"/>
        <w:rPr>
          <w:rFonts w:eastAsia="Times New Roman" w:cstheme="minorHAnsi"/>
          <w:sz w:val="36"/>
          <w:szCs w:val="36"/>
          <w:lang w:eastAsia="it-IT"/>
        </w:rPr>
      </w:pPr>
      <w:r w:rsidRPr="00B0447C">
        <w:rPr>
          <w:rFonts w:eastAsia="MingLiU"/>
          <w:sz w:val="36"/>
          <w:szCs w:val="36"/>
        </w:rPr>
        <w:t>Si sottolinea spesso che il termine «</w:t>
      </w:r>
      <w:r w:rsidRPr="00B0447C">
        <w:rPr>
          <w:rFonts w:eastAsia="MingLiU"/>
          <w:i/>
          <w:sz w:val="36"/>
          <w:szCs w:val="36"/>
        </w:rPr>
        <w:t>jihād</w:t>
      </w:r>
      <w:r w:rsidRPr="00B0447C">
        <w:rPr>
          <w:rFonts w:eastAsia="MingLiU"/>
          <w:sz w:val="36"/>
          <w:szCs w:val="36"/>
        </w:rPr>
        <w:t>» contiene un'allusione allo «sforzo» non già alla guerra (</w:t>
      </w:r>
      <w:proofErr w:type="spellStart"/>
      <w:r w:rsidRPr="00B0447C">
        <w:rPr>
          <w:rFonts w:eastAsia="MingLiU"/>
          <w:i/>
          <w:sz w:val="36"/>
          <w:szCs w:val="36"/>
        </w:rPr>
        <w:t>ḥarb</w:t>
      </w:r>
      <w:proofErr w:type="spellEnd"/>
      <w:r w:rsidRPr="00B0447C">
        <w:rPr>
          <w:rFonts w:eastAsia="MingLiU"/>
          <w:sz w:val="36"/>
          <w:szCs w:val="36"/>
        </w:rPr>
        <w:t xml:space="preserve">). Tanto la guerra quanto la lotta interiore </w:t>
      </w:r>
      <w:r w:rsidR="00B0447C">
        <w:rPr>
          <w:rFonts w:eastAsia="MingLiU"/>
          <w:sz w:val="36"/>
          <w:szCs w:val="36"/>
        </w:rPr>
        <w:t xml:space="preserve">contro le proprie passioni </w:t>
      </w:r>
      <w:r w:rsidRPr="00B0447C">
        <w:rPr>
          <w:rFonts w:eastAsia="MingLiU"/>
          <w:sz w:val="36"/>
          <w:szCs w:val="36"/>
        </w:rPr>
        <w:t xml:space="preserve">assumono l'aspetto del </w:t>
      </w:r>
      <w:r w:rsidRPr="00B0447C">
        <w:rPr>
          <w:rFonts w:eastAsia="MingLiU"/>
          <w:i/>
          <w:sz w:val="36"/>
          <w:szCs w:val="36"/>
        </w:rPr>
        <w:t xml:space="preserve">jihād </w:t>
      </w:r>
      <w:r w:rsidRPr="00B0447C">
        <w:rPr>
          <w:rFonts w:eastAsia="MingLiU"/>
          <w:sz w:val="36"/>
          <w:szCs w:val="36"/>
        </w:rPr>
        <w:t xml:space="preserve">quando sono combattuti sulla «via di Dio», vale a dire sono compiuti per ragioni che nulla hanno </w:t>
      </w:r>
      <w:r w:rsidR="00B0447C">
        <w:rPr>
          <w:rFonts w:eastAsia="MingLiU"/>
          <w:sz w:val="36"/>
          <w:szCs w:val="36"/>
        </w:rPr>
        <w:t>da spartire</w:t>
      </w:r>
      <w:r w:rsidRPr="00B0447C">
        <w:rPr>
          <w:rFonts w:eastAsia="MingLiU"/>
          <w:sz w:val="36"/>
          <w:szCs w:val="36"/>
        </w:rPr>
        <w:t xml:space="preserve"> con l'interesse e il tornaconto collettivo o personale. </w:t>
      </w:r>
    </w:p>
    <w:p w14:paraId="02CF48EB" w14:textId="77777777" w:rsidR="00352044" w:rsidRPr="00B0447C" w:rsidRDefault="00352044" w:rsidP="00B0447C">
      <w:pPr>
        <w:spacing w:line="240" w:lineRule="auto"/>
        <w:ind w:firstLine="284"/>
        <w:rPr>
          <w:rFonts w:eastAsia="Times New Roman" w:cstheme="minorHAnsi"/>
          <w:sz w:val="36"/>
          <w:szCs w:val="36"/>
          <w:lang w:eastAsia="it-IT"/>
        </w:rPr>
      </w:pPr>
    </w:p>
    <w:p w14:paraId="548847B1" w14:textId="1D01CFB7" w:rsidR="00A911A6" w:rsidRPr="00B0447C" w:rsidRDefault="00A911A6" w:rsidP="00164FD6">
      <w:pPr>
        <w:spacing w:line="240" w:lineRule="auto"/>
        <w:rPr>
          <w:rFonts w:eastAsia="MingLiU"/>
          <w:sz w:val="36"/>
          <w:szCs w:val="36"/>
        </w:rPr>
      </w:pPr>
      <w:r w:rsidRPr="00B0447C">
        <w:rPr>
          <w:rFonts w:eastAsia="MingLiU"/>
          <w:sz w:val="36"/>
          <w:szCs w:val="36"/>
        </w:rPr>
        <w:t>Secondo una tradizione risalente ad Abu Bakr (suocero del Profeta e futuro primo califfo) e ai suoi compagni, il primo versetto relativo alla guerra risale al secondo anno dell'egira. Durante il periodo in cui la primitiva comunità musulmana viveva a Mecca la questione non era la guerra, era l'atto di resistere nella fede, nello sforzo interiore (</w:t>
      </w:r>
      <w:r w:rsidRPr="00B0447C">
        <w:rPr>
          <w:rFonts w:eastAsia="MingLiU"/>
          <w:i/>
          <w:sz w:val="36"/>
          <w:szCs w:val="36"/>
        </w:rPr>
        <w:t xml:space="preserve">jihād an </w:t>
      </w:r>
      <w:proofErr w:type="spellStart"/>
      <w:r w:rsidRPr="00B0447C">
        <w:rPr>
          <w:rFonts w:eastAsia="MingLiU"/>
          <w:i/>
          <w:sz w:val="36"/>
          <w:szCs w:val="36"/>
        </w:rPr>
        <w:t>nafs</w:t>
      </w:r>
      <w:proofErr w:type="spellEnd"/>
      <w:r w:rsidRPr="00B0447C">
        <w:rPr>
          <w:rFonts w:eastAsia="MingLiU"/>
          <w:sz w:val="36"/>
          <w:szCs w:val="36"/>
        </w:rPr>
        <w:t xml:space="preserve">) e nella perseveranza nella prova. Arrivati a Medina su </w:t>
      </w:r>
      <w:r w:rsidR="00B0447C" w:rsidRPr="00B0447C">
        <w:rPr>
          <w:rFonts w:eastAsia="MingLiU"/>
          <w:sz w:val="36"/>
          <w:szCs w:val="36"/>
        </w:rPr>
        <w:t>Muhammad</w:t>
      </w:r>
      <w:r w:rsidRPr="00B0447C">
        <w:rPr>
          <w:rFonts w:eastAsia="MingLiU"/>
          <w:sz w:val="36"/>
          <w:szCs w:val="36"/>
        </w:rPr>
        <w:t xml:space="preserve"> furono fatti scendere questi due versetti: </w:t>
      </w:r>
    </w:p>
    <w:p w14:paraId="0B33381B" w14:textId="77777777" w:rsidR="00A911A6" w:rsidRPr="00B0447C" w:rsidRDefault="00A911A6" w:rsidP="00B0447C">
      <w:pPr>
        <w:spacing w:line="240" w:lineRule="auto"/>
        <w:rPr>
          <w:rFonts w:eastAsia="MingLiU"/>
          <w:sz w:val="36"/>
          <w:szCs w:val="36"/>
        </w:rPr>
      </w:pPr>
    </w:p>
    <w:p w14:paraId="07C2BAE3" w14:textId="30EBB95D" w:rsidR="00A911A6" w:rsidRDefault="00B0447C" w:rsidP="00B0447C">
      <w:pPr>
        <w:spacing w:line="240" w:lineRule="auto"/>
        <w:ind w:firstLine="284"/>
        <w:rPr>
          <w:rFonts w:eastAsia="MingLiU"/>
          <w:sz w:val="36"/>
          <w:szCs w:val="36"/>
        </w:rPr>
      </w:pPr>
      <w:r>
        <w:rPr>
          <w:rFonts w:eastAsia="MingLiU"/>
          <w:sz w:val="36"/>
          <w:szCs w:val="36"/>
        </w:rPr>
        <w:lastRenderedPageBreak/>
        <w:t>«</w:t>
      </w:r>
      <w:r w:rsidR="00A911A6" w:rsidRPr="00B0447C">
        <w:rPr>
          <w:rFonts w:eastAsia="MingLiU"/>
          <w:sz w:val="36"/>
          <w:szCs w:val="36"/>
        </w:rPr>
        <w:t xml:space="preserve">È dato il permesso a quelli che combattono perché sono oppressi ingiustamente - Dio è potente e soccorrevole - e a quelli che sono stati ingiustamente scacciati dalle loro case solo per aver detto: </w:t>
      </w:r>
      <w:r>
        <w:rPr>
          <w:rFonts w:eastAsia="MingLiU"/>
          <w:sz w:val="36"/>
          <w:szCs w:val="36"/>
        </w:rPr>
        <w:t>“</w:t>
      </w:r>
      <w:r w:rsidR="00A911A6" w:rsidRPr="00B0447C">
        <w:rPr>
          <w:rFonts w:eastAsia="MingLiU"/>
          <w:sz w:val="36"/>
          <w:szCs w:val="36"/>
        </w:rPr>
        <w:t>il nostro Signore è Dio</w:t>
      </w:r>
      <w:r w:rsidR="0073747F">
        <w:rPr>
          <w:rFonts w:eastAsia="MingLiU"/>
          <w:sz w:val="36"/>
          <w:szCs w:val="36"/>
        </w:rPr>
        <w:t>”</w:t>
      </w:r>
      <w:r w:rsidR="0073747F" w:rsidRPr="00B0447C">
        <w:rPr>
          <w:rFonts w:eastAsia="MingLiU"/>
          <w:sz w:val="36"/>
          <w:szCs w:val="36"/>
        </w:rPr>
        <w:t>» (</w:t>
      </w:r>
      <w:r w:rsidR="00A911A6" w:rsidRPr="00B0447C">
        <w:rPr>
          <w:rFonts w:eastAsia="MingLiU"/>
          <w:sz w:val="36"/>
          <w:szCs w:val="36"/>
        </w:rPr>
        <w:t>Corano22</w:t>
      </w:r>
      <w:r w:rsidR="0073747F">
        <w:rPr>
          <w:rFonts w:eastAsia="MingLiU"/>
          <w:sz w:val="36"/>
          <w:szCs w:val="36"/>
        </w:rPr>
        <w:t>,</w:t>
      </w:r>
      <w:r w:rsidR="00A911A6" w:rsidRPr="00B0447C">
        <w:rPr>
          <w:rFonts w:eastAsia="MingLiU"/>
          <w:sz w:val="36"/>
          <w:szCs w:val="36"/>
        </w:rPr>
        <w:t>39)</w:t>
      </w:r>
      <w:r w:rsidR="0073747F">
        <w:rPr>
          <w:rFonts w:eastAsia="MingLiU"/>
          <w:sz w:val="36"/>
          <w:szCs w:val="36"/>
        </w:rPr>
        <w:t>.</w:t>
      </w:r>
    </w:p>
    <w:p w14:paraId="091E5CA3" w14:textId="77777777" w:rsidR="0073747F" w:rsidRPr="00B0447C" w:rsidRDefault="0073747F" w:rsidP="00B0447C">
      <w:pPr>
        <w:spacing w:line="240" w:lineRule="auto"/>
        <w:ind w:firstLine="284"/>
        <w:rPr>
          <w:rFonts w:eastAsia="MingLiU"/>
          <w:sz w:val="36"/>
          <w:szCs w:val="36"/>
        </w:rPr>
      </w:pPr>
    </w:p>
    <w:p w14:paraId="68AF4633" w14:textId="27925C6F" w:rsidR="00A911A6" w:rsidRPr="00B0447C" w:rsidRDefault="00A911A6" w:rsidP="00B0447C">
      <w:pPr>
        <w:spacing w:line="240" w:lineRule="auto"/>
        <w:rPr>
          <w:rFonts w:eastAsia="MingLiU"/>
          <w:sz w:val="36"/>
          <w:szCs w:val="36"/>
        </w:rPr>
      </w:pPr>
      <w:r w:rsidRPr="00B0447C">
        <w:rPr>
          <w:rFonts w:eastAsia="MingLiU"/>
          <w:sz w:val="36"/>
          <w:szCs w:val="36"/>
        </w:rPr>
        <w:t xml:space="preserve">Uno delle ragioni del </w:t>
      </w:r>
      <w:r w:rsidRPr="00B0447C">
        <w:rPr>
          <w:rFonts w:eastAsia="MingLiU"/>
          <w:i/>
          <w:sz w:val="36"/>
          <w:szCs w:val="36"/>
        </w:rPr>
        <w:t xml:space="preserve">jihād </w:t>
      </w:r>
      <w:r w:rsidRPr="00B0447C">
        <w:rPr>
          <w:rFonts w:eastAsia="MingLiU"/>
          <w:sz w:val="36"/>
          <w:szCs w:val="36"/>
        </w:rPr>
        <w:t>sta nel lottare con le armi per la difesa dell'</w:t>
      </w:r>
      <w:r w:rsidRPr="00B0447C">
        <w:rPr>
          <w:rFonts w:eastAsia="MingLiU"/>
          <w:i/>
          <w:sz w:val="36"/>
          <w:szCs w:val="36"/>
        </w:rPr>
        <w:t>umma</w:t>
      </w:r>
      <w:r w:rsidR="00B0447C">
        <w:rPr>
          <w:rFonts w:eastAsia="MingLiU"/>
          <w:i/>
          <w:sz w:val="36"/>
          <w:szCs w:val="36"/>
        </w:rPr>
        <w:t xml:space="preserve"> </w:t>
      </w:r>
      <w:r w:rsidR="00B0447C">
        <w:rPr>
          <w:rFonts w:eastAsia="MingLiU"/>
          <w:sz w:val="36"/>
          <w:szCs w:val="36"/>
        </w:rPr>
        <w:t>musulmana</w:t>
      </w:r>
      <w:r w:rsidRPr="00B0447C">
        <w:rPr>
          <w:rFonts w:eastAsia="MingLiU"/>
          <w:sz w:val="36"/>
          <w:szCs w:val="36"/>
        </w:rPr>
        <w:t>. Da qui l'idea che il testimone-martire (</w:t>
      </w:r>
      <w:proofErr w:type="spellStart"/>
      <w:r w:rsidRPr="00B0447C">
        <w:rPr>
          <w:rFonts w:eastAsia="MingLiU"/>
          <w:i/>
          <w:sz w:val="36"/>
          <w:szCs w:val="36"/>
        </w:rPr>
        <w:t>shahīd</w:t>
      </w:r>
      <w:proofErr w:type="spellEnd"/>
      <w:r w:rsidRPr="00B0447C">
        <w:rPr>
          <w:rFonts w:eastAsia="MingLiU"/>
          <w:sz w:val="36"/>
          <w:szCs w:val="36"/>
        </w:rPr>
        <w:t xml:space="preserve">) sia colui che muore in battaglia e non già chi, a motivo della propria fede, si lascia uccidere senza porre resistenza (che è l'accezione consueta in ambito cristiano). Il </w:t>
      </w:r>
      <w:proofErr w:type="spellStart"/>
      <w:r w:rsidRPr="00B0447C">
        <w:rPr>
          <w:rFonts w:eastAsia="MingLiU"/>
          <w:i/>
          <w:sz w:val="36"/>
          <w:szCs w:val="36"/>
        </w:rPr>
        <w:t>shahīd</w:t>
      </w:r>
      <w:proofErr w:type="spellEnd"/>
      <w:r w:rsidRPr="00B0447C">
        <w:rPr>
          <w:rFonts w:eastAsia="MingLiU"/>
          <w:i/>
          <w:sz w:val="36"/>
          <w:szCs w:val="36"/>
        </w:rPr>
        <w:t xml:space="preserve"> </w:t>
      </w:r>
      <w:r w:rsidRPr="00B0447C">
        <w:rPr>
          <w:rFonts w:eastAsia="MingLiU"/>
          <w:sz w:val="36"/>
          <w:szCs w:val="36"/>
        </w:rPr>
        <w:t xml:space="preserve">è la persona che nel corso del </w:t>
      </w:r>
      <w:r w:rsidRPr="00B0447C">
        <w:rPr>
          <w:rFonts w:eastAsia="MingLiU"/>
          <w:i/>
          <w:sz w:val="36"/>
          <w:szCs w:val="36"/>
        </w:rPr>
        <w:t>jihād</w:t>
      </w:r>
      <w:r w:rsidRPr="00B0447C">
        <w:rPr>
          <w:rFonts w:eastAsia="MingLiU"/>
          <w:sz w:val="36"/>
          <w:szCs w:val="36"/>
        </w:rPr>
        <w:t xml:space="preserve"> è ucciso mentre sta a propria volta uccidendo (o è in procinto di farlo).  Un giorno, afferma un </w:t>
      </w:r>
      <w:proofErr w:type="spellStart"/>
      <w:r w:rsidRPr="00B0447C">
        <w:rPr>
          <w:rFonts w:eastAsia="MingLiU"/>
          <w:i/>
          <w:sz w:val="36"/>
          <w:szCs w:val="36"/>
        </w:rPr>
        <w:t>ḥādith</w:t>
      </w:r>
      <w:proofErr w:type="spellEnd"/>
      <w:r w:rsidR="00B0447C">
        <w:rPr>
          <w:rFonts w:eastAsia="MingLiU"/>
          <w:iCs/>
          <w:sz w:val="36"/>
          <w:szCs w:val="36"/>
        </w:rPr>
        <w:t xml:space="preserve"> (detto attribuito </w:t>
      </w:r>
      <w:proofErr w:type="spellStart"/>
      <w:r w:rsidR="00164FD6" w:rsidRPr="00B0447C">
        <w:rPr>
          <w:rFonts w:eastAsia="MingLiU"/>
          <w:sz w:val="36"/>
          <w:szCs w:val="36"/>
        </w:rPr>
        <w:t>Muḥammad</w:t>
      </w:r>
      <w:proofErr w:type="spellEnd"/>
      <w:r w:rsidR="00164FD6">
        <w:rPr>
          <w:rFonts w:eastAsia="MingLiU"/>
          <w:iCs/>
          <w:sz w:val="36"/>
          <w:szCs w:val="36"/>
        </w:rPr>
        <w:t xml:space="preserve"> non contenuto nel Corano)</w:t>
      </w:r>
      <w:r w:rsidRPr="00B0447C">
        <w:rPr>
          <w:rFonts w:eastAsia="MingLiU"/>
          <w:sz w:val="36"/>
          <w:szCs w:val="36"/>
        </w:rPr>
        <w:t xml:space="preserve">, un uomo dotato di un elmo di ferro si presentò al Profeta dicendogli che avrebbe combattuto e poi si sarebbe fatto musulmano. L'Inviato di Dio disse che i fattori dovevano essere invertiti, prima doveva convertirsi e poi combattere, così avvenne. L'uomo restò ucciso in battaglia. </w:t>
      </w:r>
      <w:bookmarkStart w:id="2" w:name="_Hlk198180326"/>
      <w:proofErr w:type="spellStart"/>
      <w:r w:rsidRPr="00B0447C">
        <w:rPr>
          <w:rFonts w:eastAsia="MingLiU"/>
          <w:sz w:val="36"/>
          <w:szCs w:val="36"/>
        </w:rPr>
        <w:t>Muḥammad</w:t>
      </w:r>
      <w:bookmarkEnd w:id="2"/>
      <w:proofErr w:type="spellEnd"/>
      <w:r w:rsidRPr="00B0447C">
        <w:rPr>
          <w:rFonts w:eastAsia="MingLiU"/>
          <w:sz w:val="36"/>
          <w:szCs w:val="36"/>
        </w:rPr>
        <w:t xml:space="preserve"> commentò: «Facendo poco ha avuto una ricompensa grande».</w:t>
      </w:r>
    </w:p>
    <w:p w14:paraId="62B2F093" w14:textId="77777777" w:rsidR="0073747F" w:rsidRDefault="0073747F" w:rsidP="00B0447C">
      <w:pPr>
        <w:spacing w:line="240" w:lineRule="auto"/>
        <w:rPr>
          <w:rFonts w:eastAsia="MingLiU"/>
          <w:sz w:val="36"/>
          <w:szCs w:val="36"/>
        </w:rPr>
      </w:pPr>
    </w:p>
    <w:p w14:paraId="20A71C4D" w14:textId="5E32ECCA" w:rsidR="00A911A6" w:rsidRPr="00B0447C" w:rsidRDefault="00A911A6" w:rsidP="00B0447C">
      <w:pPr>
        <w:spacing w:line="240" w:lineRule="auto"/>
        <w:rPr>
          <w:rFonts w:eastAsia="MingLiU"/>
          <w:sz w:val="36"/>
          <w:szCs w:val="36"/>
        </w:rPr>
      </w:pPr>
      <w:r w:rsidRPr="00B0447C">
        <w:rPr>
          <w:rFonts w:eastAsia="MingLiU"/>
          <w:sz w:val="36"/>
          <w:szCs w:val="36"/>
        </w:rPr>
        <w:t xml:space="preserve">In base al diritto islamico esistono quattro tipi di </w:t>
      </w:r>
      <w:r w:rsidRPr="00B0447C">
        <w:rPr>
          <w:rFonts w:eastAsia="MingLiU"/>
          <w:i/>
          <w:sz w:val="36"/>
          <w:szCs w:val="36"/>
        </w:rPr>
        <w:t>jihād.</w:t>
      </w:r>
      <w:r w:rsidRPr="00B0447C">
        <w:rPr>
          <w:rStyle w:val="Rimandonotaapidipagina"/>
          <w:rFonts w:eastAsia="MingLiU"/>
          <w:sz w:val="36"/>
          <w:szCs w:val="36"/>
        </w:rPr>
        <w:footnoteReference w:id="4"/>
      </w:r>
      <w:r w:rsidRPr="00B0447C">
        <w:rPr>
          <w:rFonts w:eastAsia="MingLiU"/>
          <w:sz w:val="36"/>
          <w:szCs w:val="36"/>
        </w:rPr>
        <w:t xml:space="preserve"> Il primo è quello contro gli infedeli per mezzo di spedizioni militari. Si tratta di un «obbligo comunitario» che diventa individuale solo nel caso di attacchi a sorpresa da parte del nemico. </w:t>
      </w:r>
    </w:p>
    <w:p w14:paraId="4F97EA70" w14:textId="05C42686" w:rsidR="00A911A6" w:rsidRPr="00B0447C" w:rsidRDefault="00A911A6" w:rsidP="00B0447C">
      <w:pPr>
        <w:spacing w:line="240" w:lineRule="auto"/>
        <w:rPr>
          <w:rFonts w:eastAsia="MingLiU"/>
          <w:sz w:val="36"/>
          <w:szCs w:val="36"/>
        </w:rPr>
      </w:pPr>
      <w:r w:rsidRPr="00B0447C">
        <w:rPr>
          <w:rFonts w:eastAsia="MingLiU"/>
          <w:sz w:val="36"/>
          <w:szCs w:val="36"/>
        </w:rPr>
        <w:t xml:space="preserve">  I secondi destinatari del </w:t>
      </w:r>
      <w:r w:rsidRPr="00B0447C">
        <w:rPr>
          <w:rFonts w:eastAsia="MingLiU"/>
          <w:i/>
          <w:sz w:val="36"/>
          <w:szCs w:val="36"/>
        </w:rPr>
        <w:t xml:space="preserve">jihād </w:t>
      </w:r>
      <w:r w:rsidRPr="00B0447C">
        <w:rPr>
          <w:rFonts w:eastAsia="MingLiU"/>
          <w:sz w:val="36"/>
          <w:szCs w:val="36"/>
        </w:rPr>
        <w:t xml:space="preserve">sono gli apostati.  Il terzo </w:t>
      </w:r>
      <w:r w:rsidRPr="00B0447C">
        <w:rPr>
          <w:rFonts w:eastAsia="MingLiU"/>
          <w:i/>
          <w:sz w:val="36"/>
          <w:szCs w:val="36"/>
        </w:rPr>
        <w:t xml:space="preserve">jihād </w:t>
      </w:r>
      <w:r w:rsidRPr="00B0447C">
        <w:rPr>
          <w:rFonts w:eastAsia="MingLiU"/>
          <w:sz w:val="36"/>
          <w:szCs w:val="36"/>
        </w:rPr>
        <w:t>riguarda i ribelli. Ogni musulmano è obbligato anche nell</w:t>
      </w:r>
      <w:r w:rsidR="00B0447C" w:rsidRPr="00B0447C">
        <w:rPr>
          <w:rFonts w:eastAsia="MingLiU"/>
          <w:sz w:val="36"/>
          <w:szCs w:val="36"/>
        </w:rPr>
        <w:t>a</w:t>
      </w:r>
      <w:r w:rsidRPr="00B0447C">
        <w:rPr>
          <w:rFonts w:eastAsia="MingLiU"/>
          <w:sz w:val="36"/>
          <w:szCs w:val="36"/>
        </w:rPr>
        <w:t xml:space="preserve"> lotta armata a difendere, nel caso di insurrezione, un capo di Stato </w:t>
      </w:r>
      <w:r w:rsidRPr="00B0447C">
        <w:rPr>
          <w:rFonts w:eastAsia="MingLiU"/>
          <w:sz w:val="36"/>
          <w:szCs w:val="36"/>
        </w:rPr>
        <w:lastRenderedPageBreak/>
        <w:t xml:space="preserve">legittimo. Il quarto </w:t>
      </w:r>
      <w:r w:rsidRPr="00B0447C">
        <w:rPr>
          <w:rFonts w:eastAsia="MingLiU"/>
          <w:i/>
          <w:sz w:val="36"/>
          <w:szCs w:val="36"/>
        </w:rPr>
        <w:t xml:space="preserve">jihād </w:t>
      </w:r>
      <w:r w:rsidRPr="00B0447C">
        <w:rPr>
          <w:rFonts w:eastAsia="MingLiU"/>
          <w:sz w:val="36"/>
          <w:szCs w:val="36"/>
        </w:rPr>
        <w:t xml:space="preserve">è quello intrapreso contro i briganti. Consiste nell'applicazioni di pene legali che variano in base al genere di crimini commessi. </w:t>
      </w:r>
    </w:p>
    <w:p w14:paraId="1209B012" w14:textId="77777777" w:rsidR="00A911A6" w:rsidRDefault="00A911A6" w:rsidP="00B0447C">
      <w:pPr>
        <w:spacing w:line="240" w:lineRule="auto"/>
        <w:rPr>
          <w:rFonts w:eastAsia="MingLiU"/>
          <w:sz w:val="36"/>
          <w:szCs w:val="36"/>
        </w:rPr>
      </w:pPr>
      <w:r w:rsidRPr="00B0447C">
        <w:rPr>
          <w:rFonts w:eastAsia="MingLiU"/>
          <w:sz w:val="36"/>
          <w:szCs w:val="36"/>
        </w:rPr>
        <w:t xml:space="preserve">  In conclusione, in un mondo in cui non è pensabile alcuna «pace perpetua», il ricorso alla guerra è inevitabile, quella condotta, sia nell'ambito collettivo sia in quello individuale (la lotta contro le proprie passioni), esclusivamente sulla «via di Dio» nell’islam assume il nome di </w:t>
      </w:r>
      <w:r w:rsidRPr="00B0447C">
        <w:rPr>
          <w:rFonts w:eastAsia="MingLiU"/>
          <w:i/>
          <w:sz w:val="36"/>
          <w:szCs w:val="36"/>
        </w:rPr>
        <w:t>jihād</w:t>
      </w:r>
      <w:r w:rsidRPr="00B0447C">
        <w:rPr>
          <w:rFonts w:eastAsia="MingLiU"/>
          <w:sz w:val="36"/>
          <w:szCs w:val="36"/>
        </w:rPr>
        <w:t xml:space="preserve">. </w:t>
      </w:r>
    </w:p>
    <w:p w14:paraId="555B9D70" w14:textId="77777777" w:rsidR="00164FD6" w:rsidRDefault="00164FD6" w:rsidP="00B0447C">
      <w:pPr>
        <w:spacing w:line="240" w:lineRule="auto"/>
        <w:rPr>
          <w:rFonts w:eastAsia="MingLiU"/>
          <w:sz w:val="36"/>
          <w:szCs w:val="36"/>
        </w:rPr>
      </w:pPr>
    </w:p>
    <w:p w14:paraId="24B71801" w14:textId="2D5A9EF9" w:rsidR="00164FD6" w:rsidRPr="00164FD6" w:rsidRDefault="00164FD6" w:rsidP="00164FD6">
      <w:pPr>
        <w:pStyle w:val="Paragrafoelenco"/>
        <w:numPr>
          <w:ilvl w:val="0"/>
          <w:numId w:val="1"/>
        </w:numPr>
        <w:spacing w:line="240" w:lineRule="auto"/>
        <w:rPr>
          <w:rFonts w:eastAsia="MingLiU"/>
          <w:b/>
          <w:bCs/>
          <w:color w:val="E36C0A" w:themeColor="accent6" w:themeShade="BF"/>
          <w:sz w:val="36"/>
          <w:szCs w:val="36"/>
        </w:rPr>
      </w:pPr>
      <w:r w:rsidRPr="00164FD6">
        <w:rPr>
          <w:rFonts w:eastAsia="MingLiU"/>
          <w:b/>
          <w:bCs/>
          <w:color w:val="E36C0A" w:themeColor="accent6" w:themeShade="BF"/>
          <w:sz w:val="36"/>
          <w:szCs w:val="36"/>
        </w:rPr>
        <w:t>Hamas</w:t>
      </w:r>
    </w:p>
    <w:p w14:paraId="18B44CCD" w14:textId="77777777" w:rsidR="00A911A6" w:rsidRPr="00B0447C" w:rsidRDefault="00A911A6" w:rsidP="00B0447C">
      <w:pPr>
        <w:spacing w:line="240" w:lineRule="auto"/>
        <w:rPr>
          <w:sz w:val="36"/>
          <w:szCs w:val="36"/>
        </w:rPr>
      </w:pPr>
    </w:p>
    <w:p w14:paraId="6B687687" w14:textId="2985411D" w:rsidR="00352044" w:rsidRPr="00C442D3" w:rsidRDefault="00352044" w:rsidP="00164FD6">
      <w:pPr>
        <w:spacing w:line="240" w:lineRule="auto"/>
        <w:ind w:firstLine="0"/>
        <w:rPr>
          <w:rFonts w:eastAsia="Times New Roman" w:cstheme="minorHAnsi"/>
          <w:sz w:val="36"/>
          <w:szCs w:val="36"/>
          <w:lang w:eastAsia="it-IT"/>
        </w:rPr>
      </w:pPr>
      <w:r w:rsidRPr="00C442D3">
        <w:rPr>
          <w:rFonts w:eastAsia="Times New Roman" w:cstheme="minorHAnsi"/>
          <w:sz w:val="36"/>
          <w:szCs w:val="36"/>
          <w:lang w:eastAsia="it-IT"/>
        </w:rPr>
        <w:t xml:space="preserve">Gli ultimi decenni hanno visto ampliarsi, nella composita società palestinese, gli influssi islamici. La tendenza è aumentata in ragione inversa all’impotenza e all’umiliazione sociale e politica in cui si trovavano i palestinesi. </w:t>
      </w:r>
      <w:r w:rsidR="0073747F">
        <w:rPr>
          <w:rFonts w:eastAsia="Times New Roman" w:cstheme="minorHAnsi"/>
          <w:sz w:val="36"/>
          <w:szCs w:val="36"/>
          <w:lang w:eastAsia="it-IT"/>
        </w:rPr>
        <w:t>Il</w:t>
      </w:r>
      <w:r w:rsidRPr="00C442D3">
        <w:rPr>
          <w:rFonts w:eastAsia="Times New Roman" w:cstheme="minorHAnsi"/>
          <w:sz w:val="36"/>
          <w:szCs w:val="36"/>
          <w:lang w:eastAsia="it-IT"/>
        </w:rPr>
        <w:t xml:space="preserve"> crescente ruolo dell’islam deriva dal fatto di essersi imposto come un’ideologia, diventando un fattore di mobilitazione e di identificazione collettive. In ambito palestinese le tendenze islamizzanti sono diventate vincenti a livello popolare quando, accanto al tema della contrapposizione violenta nei confronti di Israele, hanno potuto innescare due altri fattori tipici dell’azione dell’islamismo radicale: la moralizzazione pubblica e la solidarietà-fraternità musulmana. </w:t>
      </w:r>
    </w:p>
    <w:p w14:paraId="53004C1C" w14:textId="781FACD4" w:rsidR="00C442D3" w:rsidRDefault="00352044" w:rsidP="00C442D3">
      <w:pPr>
        <w:spacing w:line="240" w:lineRule="auto"/>
        <w:ind w:firstLine="284"/>
        <w:rPr>
          <w:rFonts w:eastAsia="Times New Roman" w:cstheme="minorHAnsi"/>
          <w:sz w:val="36"/>
          <w:szCs w:val="36"/>
          <w:lang w:eastAsia="it-IT"/>
        </w:rPr>
      </w:pPr>
      <w:r w:rsidRPr="00C442D3">
        <w:rPr>
          <w:rFonts w:eastAsia="Times New Roman" w:cstheme="minorHAnsi"/>
          <w:sz w:val="36"/>
          <w:szCs w:val="36"/>
          <w:lang w:eastAsia="it-IT"/>
        </w:rPr>
        <w:t xml:space="preserve">Hamas, fondata, nel 1987, abbracciò fin dal principio la lotta armata, </w:t>
      </w:r>
      <w:proofErr w:type="gramStart"/>
      <w:r w:rsidRPr="00C442D3">
        <w:rPr>
          <w:rFonts w:eastAsia="Times New Roman" w:cstheme="minorHAnsi"/>
          <w:sz w:val="36"/>
          <w:szCs w:val="36"/>
          <w:lang w:eastAsia="it-IT"/>
        </w:rPr>
        <w:t>seguendo  le</w:t>
      </w:r>
      <w:proofErr w:type="gramEnd"/>
      <w:r w:rsidRPr="00C442D3">
        <w:rPr>
          <w:rFonts w:eastAsia="Times New Roman" w:cstheme="minorHAnsi"/>
          <w:sz w:val="36"/>
          <w:szCs w:val="36"/>
          <w:lang w:eastAsia="it-IT"/>
        </w:rPr>
        <w:t xml:space="preserve"> orme del</w:t>
      </w:r>
      <w:r w:rsidR="00C442D3">
        <w:rPr>
          <w:rFonts w:eastAsia="Times New Roman" w:cstheme="minorHAnsi"/>
          <w:sz w:val="36"/>
          <w:szCs w:val="36"/>
          <w:lang w:eastAsia="it-IT"/>
        </w:rPr>
        <w:t xml:space="preserve"> movimento denominato</w:t>
      </w:r>
      <w:r w:rsidRPr="00C442D3">
        <w:rPr>
          <w:rFonts w:eastAsia="Times New Roman" w:cstheme="minorHAnsi"/>
          <w:sz w:val="36"/>
          <w:szCs w:val="36"/>
          <w:lang w:eastAsia="it-IT"/>
        </w:rPr>
        <w:t xml:space="preserve"> Jihad islamico (nato nel 1980). Per i Fratelli musulmani palestinesi di osservanza egiziana il punto chiave stava nell’attuare la </w:t>
      </w:r>
      <w:proofErr w:type="spellStart"/>
      <w:r w:rsidRPr="00C442D3">
        <w:rPr>
          <w:rFonts w:eastAsia="Times New Roman" w:cstheme="minorHAnsi"/>
          <w:sz w:val="36"/>
          <w:szCs w:val="36"/>
          <w:lang w:eastAsia="it-IT"/>
        </w:rPr>
        <w:t>rislamizzazione</w:t>
      </w:r>
      <w:proofErr w:type="spellEnd"/>
      <w:r w:rsidRPr="00C442D3">
        <w:rPr>
          <w:rFonts w:eastAsia="Times New Roman" w:cstheme="minorHAnsi"/>
          <w:sz w:val="36"/>
          <w:szCs w:val="36"/>
          <w:lang w:eastAsia="it-IT"/>
        </w:rPr>
        <w:t xml:space="preserve"> della società, per il Jihad era invece prioritaria la lotta armata; Hamas compì una sintesi fra le due tendenze. La scelta risultò vincente. </w:t>
      </w:r>
    </w:p>
    <w:p w14:paraId="21980D09" w14:textId="107F3B83" w:rsidR="00352044" w:rsidRPr="00C442D3" w:rsidRDefault="00352044" w:rsidP="00C442D3">
      <w:pPr>
        <w:spacing w:line="240" w:lineRule="auto"/>
        <w:ind w:firstLine="284"/>
        <w:rPr>
          <w:rFonts w:eastAsia="Times New Roman" w:cstheme="minorHAnsi"/>
          <w:sz w:val="36"/>
          <w:szCs w:val="36"/>
          <w:lang w:eastAsia="it-IT"/>
        </w:rPr>
      </w:pPr>
      <w:r w:rsidRPr="00C442D3">
        <w:rPr>
          <w:rFonts w:eastAsia="Times New Roman" w:cstheme="minorHAnsi"/>
          <w:sz w:val="36"/>
          <w:szCs w:val="36"/>
          <w:lang w:eastAsia="it-IT"/>
        </w:rPr>
        <w:lastRenderedPageBreak/>
        <w:t xml:space="preserve">Hamas è definibile come un movimento nazionalista che fa ricorso al terrorismo. Lo fa in maniera </w:t>
      </w:r>
      <w:proofErr w:type="spellStart"/>
      <w:r w:rsidRPr="00C442D3">
        <w:rPr>
          <w:rFonts w:eastAsia="Times New Roman" w:cstheme="minorHAnsi"/>
          <w:sz w:val="36"/>
          <w:szCs w:val="36"/>
          <w:lang w:eastAsia="it-IT"/>
        </w:rPr>
        <w:t>martiriale</w:t>
      </w:r>
      <w:proofErr w:type="spellEnd"/>
      <w:r w:rsidRPr="00C442D3">
        <w:rPr>
          <w:rFonts w:eastAsia="Times New Roman" w:cstheme="minorHAnsi"/>
          <w:sz w:val="36"/>
          <w:szCs w:val="36"/>
          <w:lang w:eastAsia="it-IT"/>
        </w:rPr>
        <w:t>. Per convincersi basti pensare sia al tragico periodo degli attentati suicidi, sia alle uccisioni e violenze compiute il 7 ottobre 2023, accompagnate, però, dalla ricattatoria scelta politica costituita dalla cattura di 240 ostaggi. A differenza di altre stagioni del terrorismo palestinese, violenze e attentati sono compiuti esclusivamente in territori sotto controllo israeliano.</w:t>
      </w:r>
    </w:p>
    <w:p w14:paraId="6138CCA3" w14:textId="71D2FFDD" w:rsidR="00352044" w:rsidRPr="00C442D3" w:rsidRDefault="00352044" w:rsidP="00C442D3">
      <w:pPr>
        <w:shd w:val="clear" w:color="auto" w:fill="FFFFFF"/>
        <w:spacing w:line="240" w:lineRule="auto"/>
        <w:ind w:firstLine="284"/>
        <w:rPr>
          <w:rFonts w:eastAsia="Times New Roman" w:cstheme="minorHAnsi"/>
          <w:sz w:val="36"/>
          <w:szCs w:val="36"/>
          <w:lang w:eastAsia="it-IT"/>
        </w:rPr>
      </w:pPr>
      <w:r w:rsidRPr="00C442D3">
        <w:rPr>
          <w:rFonts w:eastAsia="Times New Roman" w:cstheme="minorHAnsi"/>
          <w:sz w:val="36"/>
          <w:szCs w:val="36"/>
          <w:lang w:eastAsia="it-IT"/>
        </w:rPr>
        <w:t xml:space="preserve">Nel gennaio del 2006 Hamas scese in campo nelle elezioni politiche ottenendo un successo travolgente, a </w:t>
      </w:r>
      <w:r w:rsidRPr="00C442D3">
        <w:rPr>
          <w:rFonts w:eastAsia="Times New Roman" w:cstheme="minorHAnsi"/>
          <w:color w:val="202122"/>
          <w:sz w:val="36"/>
          <w:szCs w:val="36"/>
          <w:lang w:eastAsia="it-IT"/>
        </w:rPr>
        <w:t xml:space="preserve">cui seguì ben presto (2006-2007)   uno scontro armato tra Fatah (il partito prima di Arafat poi di Abu Mazen) e Hamas. L’esito è ancora quello che si registra oggi: </w:t>
      </w:r>
      <w:r w:rsidRPr="00C442D3">
        <w:rPr>
          <w:rFonts w:eastAsia="Times New Roman" w:cstheme="minorHAnsi"/>
          <w:sz w:val="36"/>
          <w:szCs w:val="36"/>
          <w:lang w:eastAsia="it-IT"/>
        </w:rPr>
        <w:t>controllo di Hamas su Gaza, per quanto le è consentito dalle operazioni di terra e dai bombardamenti israeliani, e controllo dell’OLP sulle frammentate e sempre più isolate aree cisgiordane che le spettano in base agli accordi di Oslo (in sostanza solo il 18% dell’intero territorio).</w:t>
      </w:r>
    </w:p>
    <w:p w14:paraId="5B0F7629" w14:textId="77777777" w:rsidR="00352044" w:rsidRPr="00C442D3" w:rsidRDefault="00352044" w:rsidP="00C442D3">
      <w:pPr>
        <w:shd w:val="clear" w:color="auto" w:fill="FFFFFF"/>
        <w:spacing w:line="240" w:lineRule="auto"/>
        <w:ind w:firstLine="284"/>
        <w:rPr>
          <w:rFonts w:eastAsia="Times New Roman" w:cstheme="minorHAnsi"/>
          <w:sz w:val="36"/>
          <w:szCs w:val="36"/>
          <w:lang w:eastAsia="it-IT"/>
        </w:rPr>
      </w:pPr>
    </w:p>
    <w:p w14:paraId="7B34E0C7" w14:textId="45E3298A" w:rsidR="00352044" w:rsidRPr="00F5448F" w:rsidRDefault="00F5448F" w:rsidP="00F5448F">
      <w:pPr>
        <w:shd w:val="clear" w:color="auto" w:fill="FFFFFF"/>
        <w:spacing w:line="240" w:lineRule="auto"/>
        <w:ind w:left="568" w:firstLine="0"/>
        <w:rPr>
          <w:rFonts w:eastAsia="Times New Roman" w:cstheme="minorHAnsi"/>
          <w:b/>
          <w:bCs/>
          <w:color w:val="E36C0A" w:themeColor="accent6" w:themeShade="BF"/>
          <w:sz w:val="36"/>
          <w:szCs w:val="36"/>
          <w:lang w:eastAsia="it-IT"/>
        </w:rPr>
      </w:pPr>
      <w:r>
        <w:rPr>
          <w:rFonts w:eastAsia="Times New Roman" w:cstheme="minorHAnsi"/>
          <w:b/>
          <w:bCs/>
          <w:color w:val="E36C0A" w:themeColor="accent6" w:themeShade="BF"/>
          <w:sz w:val="36"/>
          <w:szCs w:val="36"/>
          <w:lang w:eastAsia="it-IT"/>
        </w:rPr>
        <w:t>2.2.</w:t>
      </w:r>
      <w:r w:rsidR="00352044" w:rsidRPr="00F5448F">
        <w:rPr>
          <w:rFonts w:eastAsia="Times New Roman" w:cstheme="minorHAnsi"/>
          <w:b/>
          <w:bCs/>
          <w:color w:val="E36C0A" w:themeColor="accent6" w:themeShade="BF"/>
          <w:sz w:val="36"/>
          <w:szCs w:val="36"/>
          <w:lang w:eastAsia="it-IT"/>
        </w:rPr>
        <w:t>Gli Statuti</w:t>
      </w:r>
    </w:p>
    <w:p w14:paraId="36A022FC" w14:textId="77777777" w:rsidR="00352044" w:rsidRPr="00C442D3" w:rsidRDefault="00352044" w:rsidP="00C442D3">
      <w:pPr>
        <w:shd w:val="clear" w:color="auto" w:fill="FFFFFF"/>
        <w:spacing w:line="240" w:lineRule="auto"/>
        <w:ind w:left="284"/>
        <w:rPr>
          <w:rFonts w:eastAsia="Times New Roman" w:cstheme="minorHAnsi"/>
          <w:color w:val="943634" w:themeColor="accent2" w:themeShade="BF"/>
          <w:sz w:val="36"/>
          <w:szCs w:val="36"/>
          <w:lang w:eastAsia="it-IT"/>
        </w:rPr>
      </w:pPr>
    </w:p>
    <w:p w14:paraId="1A63D124" w14:textId="77777777" w:rsidR="00F5448F" w:rsidRDefault="00352044" w:rsidP="00C442D3">
      <w:pPr>
        <w:shd w:val="clear" w:color="auto" w:fill="FFFFFF"/>
        <w:spacing w:line="240" w:lineRule="auto"/>
        <w:ind w:firstLine="284"/>
        <w:rPr>
          <w:rFonts w:eastAsia="Times New Roman" w:cstheme="minorHAnsi"/>
          <w:sz w:val="36"/>
          <w:szCs w:val="36"/>
          <w:lang w:eastAsia="it-IT"/>
        </w:rPr>
      </w:pPr>
      <w:r w:rsidRPr="00C442D3">
        <w:rPr>
          <w:rFonts w:eastAsia="Times New Roman" w:cstheme="minorHAnsi"/>
          <w:sz w:val="36"/>
          <w:szCs w:val="36"/>
          <w:lang w:eastAsia="it-IT"/>
        </w:rPr>
        <w:t xml:space="preserve">Se si prende alla lettera lo Statuto di Hamas approvato nel giugno del </w:t>
      </w:r>
      <w:r w:rsidRPr="00F5448F">
        <w:rPr>
          <w:rFonts w:eastAsia="Times New Roman" w:cstheme="minorHAnsi"/>
          <w:color w:val="C00000"/>
          <w:sz w:val="36"/>
          <w:szCs w:val="36"/>
          <w:lang w:eastAsia="it-IT"/>
        </w:rPr>
        <w:t>1988</w:t>
      </w:r>
      <w:r w:rsidRPr="00C442D3">
        <w:rPr>
          <w:rFonts w:eastAsia="Times New Roman" w:cstheme="minorHAnsi"/>
          <w:sz w:val="36"/>
          <w:szCs w:val="36"/>
          <w:lang w:eastAsia="it-IT"/>
        </w:rPr>
        <w:t xml:space="preserve">, gli spazi di manovra per un’apertura di trattive con Israele sono nulli. Il suo articolo 8 indica che per il militante: </w:t>
      </w:r>
    </w:p>
    <w:p w14:paraId="7D6BD6A7" w14:textId="77777777" w:rsidR="00F5448F" w:rsidRPr="00F5448F" w:rsidRDefault="00352044" w:rsidP="00C442D3">
      <w:pPr>
        <w:shd w:val="clear" w:color="auto" w:fill="FFFFFF"/>
        <w:spacing w:line="240" w:lineRule="auto"/>
        <w:ind w:firstLine="284"/>
        <w:rPr>
          <w:rFonts w:eastAsia="Times New Roman" w:cstheme="minorHAnsi"/>
          <w:iCs/>
          <w:color w:val="C00000"/>
          <w:sz w:val="36"/>
          <w:szCs w:val="36"/>
          <w:lang w:eastAsia="it-IT"/>
        </w:rPr>
      </w:pPr>
      <w:r w:rsidRPr="00F5448F">
        <w:rPr>
          <w:rFonts w:eastAsia="Times New Roman" w:cstheme="minorHAnsi"/>
          <w:color w:val="C00000"/>
          <w:sz w:val="36"/>
          <w:szCs w:val="36"/>
          <w:lang w:eastAsia="it-IT"/>
        </w:rPr>
        <w:t>«</w:t>
      </w:r>
      <w:r w:rsidRPr="00F5448F">
        <w:rPr>
          <w:rFonts w:eastAsia="Times New Roman" w:cstheme="minorHAnsi"/>
          <w:iCs/>
          <w:color w:val="C00000"/>
          <w:sz w:val="36"/>
          <w:szCs w:val="36"/>
          <w:lang w:eastAsia="it-IT"/>
        </w:rPr>
        <w:t xml:space="preserve">Dio è il suo scopo, il Profeta è il suo capo, il Corano è la sua costituzione, il jihad il suo metodo e morire in nome di Dio è il suo più caro desiderio». </w:t>
      </w:r>
    </w:p>
    <w:p w14:paraId="3DC1DCD1" w14:textId="77777777" w:rsidR="00F5448F" w:rsidRDefault="00352044" w:rsidP="00C442D3">
      <w:pPr>
        <w:shd w:val="clear" w:color="auto" w:fill="FFFFFF"/>
        <w:spacing w:line="240" w:lineRule="auto"/>
        <w:ind w:firstLine="284"/>
        <w:rPr>
          <w:rFonts w:eastAsia="Times New Roman" w:cstheme="minorHAnsi"/>
          <w:sz w:val="36"/>
          <w:szCs w:val="36"/>
          <w:lang w:eastAsia="it-IT"/>
        </w:rPr>
      </w:pPr>
      <w:r w:rsidRPr="00C442D3">
        <w:rPr>
          <w:rFonts w:eastAsia="Times New Roman" w:cstheme="minorHAnsi"/>
          <w:iCs/>
          <w:sz w:val="36"/>
          <w:szCs w:val="36"/>
          <w:lang w:eastAsia="it-IT"/>
        </w:rPr>
        <w:t>L’obiettivo è «liberare la Palestina» che appartiene tutta ai m</w:t>
      </w:r>
      <w:r w:rsidRPr="00C442D3">
        <w:rPr>
          <w:rFonts w:eastAsia="Times New Roman" w:cstheme="minorHAnsi"/>
          <w:sz w:val="36"/>
          <w:szCs w:val="36"/>
          <w:lang w:eastAsia="it-IT"/>
        </w:rPr>
        <w:t xml:space="preserve">usulmani.  </w:t>
      </w:r>
    </w:p>
    <w:p w14:paraId="46738BD2" w14:textId="77777777" w:rsidR="00F5448F" w:rsidRDefault="00352044" w:rsidP="00C442D3">
      <w:pPr>
        <w:shd w:val="clear" w:color="auto" w:fill="FFFFFF"/>
        <w:spacing w:line="240" w:lineRule="auto"/>
        <w:ind w:firstLine="284"/>
        <w:rPr>
          <w:rFonts w:eastAsia="Times New Roman" w:cstheme="minorHAnsi"/>
          <w:sz w:val="36"/>
          <w:szCs w:val="36"/>
          <w:lang w:eastAsia="it-IT"/>
        </w:rPr>
      </w:pPr>
      <w:r w:rsidRPr="00C442D3">
        <w:rPr>
          <w:rFonts w:eastAsia="Times New Roman" w:cstheme="minorHAnsi"/>
          <w:sz w:val="36"/>
          <w:szCs w:val="36"/>
          <w:lang w:eastAsia="it-IT"/>
        </w:rPr>
        <w:lastRenderedPageBreak/>
        <w:t xml:space="preserve">Un particolare peso va dato all’articolo 11, esatto speculare alle pretese dell’incedibilità territoriale sostenute dal fondamentalismo israeliano: </w:t>
      </w:r>
    </w:p>
    <w:p w14:paraId="5EEE7058" w14:textId="77777777" w:rsidR="00F5448F" w:rsidRDefault="00352044" w:rsidP="00C442D3">
      <w:pPr>
        <w:shd w:val="clear" w:color="auto" w:fill="FFFFFF"/>
        <w:spacing w:line="240" w:lineRule="auto"/>
        <w:ind w:firstLine="284"/>
        <w:rPr>
          <w:rFonts w:eastAsia="Times New Roman" w:cstheme="minorHAnsi"/>
          <w:color w:val="333333"/>
          <w:sz w:val="36"/>
          <w:szCs w:val="36"/>
          <w:lang w:eastAsia="it-IT"/>
        </w:rPr>
      </w:pPr>
      <w:r w:rsidRPr="00C442D3">
        <w:rPr>
          <w:rFonts w:eastAsia="Times New Roman" w:cstheme="minorHAnsi"/>
          <w:sz w:val="36"/>
          <w:szCs w:val="36"/>
          <w:lang w:eastAsia="it-IT"/>
        </w:rPr>
        <w:t>«</w:t>
      </w:r>
      <w:r w:rsidRPr="00D066CE">
        <w:rPr>
          <w:rFonts w:eastAsia="Times New Roman" w:cstheme="minorHAnsi"/>
          <w:color w:val="C00000"/>
          <w:sz w:val="36"/>
          <w:szCs w:val="36"/>
          <w:lang w:eastAsia="it-IT"/>
        </w:rPr>
        <w:t>Il Movimento di Resistenza Islamico crede che la terra di Palestina sia un sacro deposito (</w:t>
      </w:r>
      <w:r w:rsidRPr="00D066CE">
        <w:rPr>
          <w:rFonts w:eastAsia="Times New Roman" w:cstheme="minorHAnsi"/>
          <w:i/>
          <w:iCs/>
          <w:color w:val="C00000"/>
          <w:sz w:val="36"/>
          <w:szCs w:val="36"/>
          <w:lang w:eastAsia="it-IT"/>
        </w:rPr>
        <w:t>waqf</w:t>
      </w:r>
      <w:r w:rsidRPr="00D066CE">
        <w:rPr>
          <w:rFonts w:eastAsia="Times New Roman" w:cstheme="minorHAnsi"/>
          <w:color w:val="C00000"/>
          <w:sz w:val="36"/>
          <w:szCs w:val="36"/>
          <w:lang w:eastAsia="it-IT"/>
        </w:rPr>
        <w:t>), terra islamica affidata alle generazioni dell’islam fino al giorno della resurrezione. Non è</w:t>
      </w:r>
      <w:r w:rsidRPr="00D066CE">
        <w:rPr>
          <w:rFonts w:eastAsia="Times New Roman" w:cstheme="minorHAnsi"/>
          <w:b/>
          <w:bCs/>
          <w:color w:val="C00000"/>
          <w:sz w:val="36"/>
          <w:szCs w:val="36"/>
          <w:lang w:eastAsia="it-IT"/>
        </w:rPr>
        <w:t xml:space="preserve"> </w:t>
      </w:r>
      <w:r w:rsidRPr="00D066CE">
        <w:rPr>
          <w:rFonts w:eastAsia="Times New Roman" w:cstheme="minorHAnsi"/>
          <w:color w:val="C00000"/>
          <w:sz w:val="36"/>
          <w:szCs w:val="36"/>
          <w:lang w:eastAsia="it-IT"/>
        </w:rPr>
        <w:t xml:space="preserve">accettabile rinunciare ad alcuna parte di essa </w:t>
      </w:r>
      <w:r w:rsidRPr="00C442D3">
        <w:rPr>
          <w:rFonts w:eastAsia="Times New Roman" w:cstheme="minorHAnsi"/>
          <w:sz w:val="36"/>
          <w:szCs w:val="36"/>
          <w:lang w:eastAsia="it-IT"/>
        </w:rPr>
        <w:t>[…]</w:t>
      </w:r>
      <w:r w:rsidRPr="00C442D3">
        <w:rPr>
          <w:rFonts w:eastAsia="Times New Roman" w:cstheme="minorHAnsi"/>
          <w:color w:val="333333"/>
          <w:sz w:val="36"/>
          <w:szCs w:val="36"/>
          <w:lang w:eastAsia="it-IT"/>
        </w:rPr>
        <w:t xml:space="preserve">». </w:t>
      </w:r>
    </w:p>
    <w:p w14:paraId="008AF17A" w14:textId="77777777" w:rsidR="00D066CE" w:rsidRDefault="00352044" w:rsidP="00C442D3">
      <w:pPr>
        <w:shd w:val="clear" w:color="auto" w:fill="FFFFFF"/>
        <w:spacing w:line="240" w:lineRule="auto"/>
        <w:ind w:firstLine="284"/>
        <w:rPr>
          <w:rFonts w:eastAsia="Times New Roman" w:cstheme="minorHAnsi"/>
          <w:sz w:val="36"/>
          <w:szCs w:val="36"/>
          <w:lang w:eastAsia="it-IT"/>
        </w:rPr>
      </w:pPr>
      <w:r w:rsidRPr="00D066CE">
        <w:rPr>
          <w:rFonts w:eastAsia="Times New Roman" w:cstheme="minorHAnsi"/>
          <w:sz w:val="36"/>
          <w:szCs w:val="36"/>
          <w:lang w:eastAsia="it-IT"/>
        </w:rPr>
        <w:t xml:space="preserve">A questa definizione segue immediatamente un articolo volto a evidenziare la dimensione nazionale di </w:t>
      </w:r>
      <w:r w:rsidRPr="00F5448F">
        <w:rPr>
          <w:rFonts w:eastAsia="Times New Roman" w:cstheme="minorHAnsi"/>
          <w:sz w:val="36"/>
          <w:szCs w:val="36"/>
          <w:lang w:eastAsia="it-IT"/>
        </w:rPr>
        <w:t xml:space="preserve">Hamas: </w:t>
      </w:r>
    </w:p>
    <w:p w14:paraId="386AFE94" w14:textId="51673C8E" w:rsidR="00352044" w:rsidRPr="00C442D3" w:rsidRDefault="00352044" w:rsidP="00C442D3">
      <w:pPr>
        <w:shd w:val="clear" w:color="auto" w:fill="FFFFFF"/>
        <w:spacing w:line="240" w:lineRule="auto"/>
        <w:ind w:firstLine="284"/>
        <w:rPr>
          <w:rFonts w:eastAsia="Times New Roman" w:cstheme="minorHAnsi"/>
          <w:color w:val="000000" w:themeColor="text1"/>
          <w:sz w:val="36"/>
          <w:szCs w:val="36"/>
          <w:lang w:eastAsia="it-IT"/>
        </w:rPr>
      </w:pPr>
      <w:r w:rsidRPr="00F5448F">
        <w:rPr>
          <w:rFonts w:eastAsia="Times New Roman" w:cstheme="minorHAnsi"/>
          <w:sz w:val="36"/>
          <w:szCs w:val="36"/>
          <w:lang w:eastAsia="it-IT"/>
        </w:rPr>
        <w:t xml:space="preserve">«Secondo il Movimento di Resistenza Islamico, </w:t>
      </w:r>
      <w:r w:rsidRPr="00D066CE">
        <w:rPr>
          <w:rFonts w:eastAsia="Times New Roman" w:cstheme="minorHAnsi"/>
          <w:color w:val="C00000"/>
          <w:sz w:val="36"/>
          <w:szCs w:val="36"/>
          <w:lang w:eastAsia="it-IT"/>
        </w:rPr>
        <w:t>il nazionalismo è parte legittima del suo credo religioso. Nulla è più vero e profondo nel nazionalismo che combattere un </w:t>
      </w:r>
      <w:r w:rsidRPr="00D066CE">
        <w:rPr>
          <w:rFonts w:eastAsia="Times New Roman" w:cstheme="minorHAnsi"/>
          <w:i/>
          <w:iCs/>
          <w:color w:val="C00000"/>
          <w:sz w:val="36"/>
          <w:szCs w:val="36"/>
          <w:lang w:eastAsia="it-IT"/>
        </w:rPr>
        <w:t>jihad</w:t>
      </w:r>
      <w:r w:rsidRPr="00D066CE">
        <w:rPr>
          <w:rFonts w:eastAsia="Times New Roman" w:cstheme="minorHAnsi"/>
          <w:color w:val="C00000"/>
          <w:sz w:val="36"/>
          <w:szCs w:val="36"/>
          <w:lang w:eastAsia="it-IT"/>
        </w:rPr>
        <w:t xml:space="preserve"> contro il nemico </w:t>
      </w:r>
      <w:r w:rsidRPr="00C442D3">
        <w:rPr>
          <w:rFonts w:eastAsia="Times New Roman" w:cstheme="minorHAnsi"/>
          <w:color w:val="000000" w:themeColor="text1"/>
          <w:sz w:val="36"/>
          <w:szCs w:val="36"/>
          <w:lang w:eastAsia="it-IT"/>
        </w:rPr>
        <w:t>e affrontarlo a viso aperto quando mette piede sulla terra dei musulmani […]».</w:t>
      </w:r>
    </w:p>
    <w:p w14:paraId="7BB55638" w14:textId="77777777" w:rsidR="00352044" w:rsidRPr="00C442D3" w:rsidRDefault="00352044" w:rsidP="00C442D3">
      <w:pPr>
        <w:shd w:val="clear" w:color="auto" w:fill="FFFFFF"/>
        <w:spacing w:line="240" w:lineRule="auto"/>
        <w:ind w:firstLine="284"/>
        <w:rPr>
          <w:rFonts w:eastAsia="SimSun"/>
          <w:kern w:val="2"/>
          <w:sz w:val="36"/>
          <w:szCs w:val="36"/>
          <w14:ligatures w14:val="standardContextual"/>
        </w:rPr>
      </w:pPr>
      <w:r w:rsidRPr="00C442D3">
        <w:rPr>
          <w:rFonts w:eastAsia="Times New Roman" w:cstheme="minorHAnsi"/>
          <w:color w:val="000000" w:themeColor="text1"/>
          <w:sz w:val="36"/>
          <w:szCs w:val="36"/>
          <w:lang w:eastAsia="it-IT"/>
        </w:rPr>
        <w:t xml:space="preserve">Nel </w:t>
      </w:r>
      <w:r w:rsidRPr="00F5448F">
        <w:rPr>
          <w:rFonts w:eastAsia="Times New Roman" w:cstheme="minorHAnsi"/>
          <w:color w:val="C00000"/>
          <w:sz w:val="36"/>
          <w:szCs w:val="36"/>
          <w:lang w:eastAsia="it-IT"/>
        </w:rPr>
        <w:t xml:space="preserve">2017 </w:t>
      </w:r>
      <w:r w:rsidRPr="00C442D3">
        <w:rPr>
          <w:rFonts w:eastAsia="Times New Roman" w:cstheme="minorHAnsi"/>
          <w:color w:val="000000" w:themeColor="text1"/>
          <w:sz w:val="36"/>
          <w:szCs w:val="36"/>
          <w:lang w:eastAsia="it-IT"/>
        </w:rPr>
        <w:t xml:space="preserve">fu proposta una revisione contenuta </w:t>
      </w:r>
      <w:r w:rsidRPr="00C442D3">
        <w:rPr>
          <w:rFonts w:eastAsia="Times New Roman" w:cstheme="minorHAnsi"/>
          <w:color w:val="333333"/>
          <w:sz w:val="36"/>
          <w:szCs w:val="36"/>
          <w:lang w:eastAsia="it-IT"/>
        </w:rPr>
        <w:t xml:space="preserve">in </w:t>
      </w:r>
      <w:r w:rsidRPr="00C442D3">
        <w:rPr>
          <w:rFonts w:cstheme="minorHAnsi"/>
          <w:i/>
          <w:iCs/>
          <w:color w:val="000000"/>
          <w:sz w:val="36"/>
          <w:szCs w:val="36"/>
        </w:rPr>
        <w:t xml:space="preserve">A </w:t>
      </w:r>
      <w:proofErr w:type="spellStart"/>
      <w:r w:rsidRPr="00C442D3">
        <w:rPr>
          <w:rFonts w:cstheme="minorHAnsi"/>
          <w:i/>
          <w:iCs/>
          <w:color w:val="000000"/>
          <w:sz w:val="36"/>
          <w:szCs w:val="36"/>
        </w:rPr>
        <w:t>Document</w:t>
      </w:r>
      <w:proofErr w:type="spellEnd"/>
      <w:r w:rsidRPr="00C442D3">
        <w:rPr>
          <w:rFonts w:cstheme="minorHAnsi"/>
          <w:i/>
          <w:iCs/>
          <w:color w:val="000000"/>
          <w:sz w:val="36"/>
          <w:szCs w:val="36"/>
        </w:rPr>
        <w:t xml:space="preserve"> of General</w:t>
      </w:r>
      <w:r w:rsidRPr="00C442D3">
        <w:rPr>
          <w:rFonts w:cstheme="minorHAnsi"/>
          <w:color w:val="000000"/>
          <w:sz w:val="36"/>
          <w:szCs w:val="36"/>
        </w:rPr>
        <w:t xml:space="preserve"> </w:t>
      </w:r>
      <w:proofErr w:type="spellStart"/>
      <w:r w:rsidRPr="00C442D3">
        <w:rPr>
          <w:rFonts w:cstheme="minorHAnsi"/>
          <w:i/>
          <w:iCs/>
          <w:color w:val="000000"/>
          <w:sz w:val="36"/>
          <w:szCs w:val="36"/>
        </w:rPr>
        <w:t>Principles</w:t>
      </w:r>
      <w:proofErr w:type="spellEnd"/>
      <w:r w:rsidRPr="00C442D3">
        <w:rPr>
          <w:rFonts w:cstheme="minorHAnsi"/>
          <w:i/>
          <w:iCs/>
          <w:color w:val="000000"/>
          <w:sz w:val="36"/>
          <w:szCs w:val="36"/>
        </w:rPr>
        <w:t xml:space="preserve"> &amp; Policies</w:t>
      </w:r>
      <w:r w:rsidRPr="00C442D3">
        <w:rPr>
          <w:rFonts w:cstheme="minorHAnsi"/>
          <w:color w:val="000000"/>
          <w:sz w:val="36"/>
          <w:szCs w:val="36"/>
        </w:rPr>
        <w:t xml:space="preserve"> di Hamas. Si discute sulla natura strategica oppure semplicemente tattica dell’affermazione contenuta nel suo ventesimo articolo in cui si afferma che per quanto lo scopo ultimo resti quello di liberare la Palestina «dal fiume [il Giordano] al mare», </w:t>
      </w:r>
      <w:r w:rsidRPr="00C442D3">
        <w:rPr>
          <w:sz w:val="36"/>
          <w:szCs w:val="36"/>
        </w:rPr>
        <w:t xml:space="preserve">Hamas considera accettabile «lo stabilimento […] di uno stato palestinese indipendente, con Gerusalemme come sua capitale, lungo i confini del 4 giugno 1967», qualora sia accompagnato dal ritorno alle loro case dei palestinesi rifugiati ed espulsi. Alla lettera vi sarebbe, quindi, l’accettazione, almeno temporanea, della soluzione «due popoli e due Stati». </w:t>
      </w:r>
    </w:p>
    <w:p w14:paraId="76B9961B" w14:textId="61D76FDB" w:rsidR="00352044" w:rsidRPr="00C442D3" w:rsidRDefault="00F5448F" w:rsidP="00C442D3">
      <w:pPr>
        <w:shd w:val="clear" w:color="auto" w:fill="FFFFFF"/>
        <w:spacing w:line="240" w:lineRule="auto"/>
        <w:ind w:firstLine="284"/>
        <w:rPr>
          <w:sz w:val="36"/>
          <w:szCs w:val="36"/>
        </w:rPr>
      </w:pPr>
      <w:r>
        <w:rPr>
          <w:sz w:val="36"/>
          <w:szCs w:val="36"/>
        </w:rPr>
        <w:t xml:space="preserve">Per stabilire chi ha il diritto al </w:t>
      </w:r>
      <w:r>
        <w:rPr>
          <w:color w:val="C00000"/>
          <w:sz w:val="36"/>
          <w:szCs w:val="36"/>
        </w:rPr>
        <w:t xml:space="preserve">ritorno </w:t>
      </w:r>
      <w:r>
        <w:rPr>
          <w:sz w:val="36"/>
          <w:szCs w:val="36"/>
        </w:rPr>
        <w:t>l</w:t>
      </w:r>
      <w:r w:rsidR="00352044" w:rsidRPr="00C442D3">
        <w:rPr>
          <w:sz w:val="36"/>
          <w:szCs w:val="36"/>
        </w:rPr>
        <w:t xml:space="preserve">o Stato d’Israele è obbligato a definire </w:t>
      </w:r>
      <w:proofErr w:type="spellStart"/>
      <w:r w:rsidR="00352044" w:rsidRPr="00C442D3">
        <w:rPr>
          <w:sz w:val="36"/>
          <w:szCs w:val="36"/>
        </w:rPr>
        <w:t>ope</w:t>
      </w:r>
      <w:proofErr w:type="spellEnd"/>
      <w:r w:rsidR="00352044" w:rsidRPr="00C442D3">
        <w:rPr>
          <w:sz w:val="36"/>
          <w:szCs w:val="36"/>
        </w:rPr>
        <w:t xml:space="preserve"> legis chi è ebreo, analogamente Hamas è indotta a stabilire chi va considerato palestinese. Lo fa nel quarto, nel quinto e nel sesto articolo: </w:t>
      </w:r>
    </w:p>
    <w:p w14:paraId="48C07C13" w14:textId="77777777" w:rsidR="00352044" w:rsidRPr="00C442D3" w:rsidRDefault="00352044" w:rsidP="00C442D3">
      <w:pPr>
        <w:shd w:val="clear" w:color="auto" w:fill="FFFFFF"/>
        <w:spacing w:line="240" w:lineRule="auto"/>
        <w:ind w:firstLine="284"/>
        <w:rPr>
          <w:rFonts w:cstheme="minorHAnsi"/>
          <w:color w:val="000000"/>
          <w:sz w:val="36"/>
          <w:szCs w:val="36"/>
        </w:rPr>
      </w:pPr>
      <w:r w:rsidRPr="00C442D3">
        <w:rPr>
          <w:rFonts w:cstheme="minorHAnsi"/>
          <w:color w:val="000000"/>
          <w:sz w:val="36"/>
          <w:szCs w:val="36"/>
        </w:rPr>
        <w:lastRenderedPageBreak/>
        <w:t>«n. 4 I palestinesi sono gli arabi che vissero in Palestina fino al 1947 indipendentemente dal fatto se essi ne furono espulsi o se vi risiedono ed è palestinese ogni persona nata da un padre arabo palestinese dopo quella data sia dentro sia fuori la Palestina».</w:t>
      </w:r>
    </w:p>
    <w:p w14:paraId="1B64BEE5" w14:textId="77777777" w:rsidR="00352044" w:rsidRPr="00C442D3" w:rsidRDefault="00352044" w:rsidP="00C442D3">
      <w:pPr>
        <w:spacing w:line="240" w:lineRule="auto"/>
        <w:ind w:firstLine="284"/>
        <w:rPr>
          <w:rFonts w:cstheme="minorHAnsi"/>
          <w:color w:val="000000"/>
          <w:sz w:val="36"/>
          <w:szCs w:val="36"/>
        </w:rPr>
      </w:pPr>
      <w:r w:rsidRPr="00C442D3">
        <w:rPr>
          <w:rFonts w:cstheme="minorHAnsi"/>
          <w:color w:val="000000"/>
          <w:sz w:val="36"/>
          <w:szCs w:val="36"/>
        </w:rPr>
        <w:t>«n. 5 L’identità palestinese è autentica e senza limiti di tempo, essa è passata di generazione in generazione. Le catastrofi che si sono abbattute sul popolo palestinese, come conseguenza dell’occupazione sionista e della sua politica di dislocazione (</w:t>
      </w:r>
      <w:proofErr w:type="spellStart"/>
      <w:r w:rsidRPr="00C442D3">
        <w:rPr>
          <w:rFonts w:cstheme="minorHAnsi"/>
          <w:i/>
          <w:iCs/>
          <w:color w:val="000000"/>
          <w:sz w:val="36"/>
          <w:szCs w:val="36"/>
        </w:rPr>
        <w:t>displacement</w:t>
      </w:r>
      <w:proofErr w:type="spellEnd"/>
      <w:r w:rsidRPr="00C442D3">
        <w:rPr>
          <w:rFonts w:cstheme="minorHAnsi"/>
          <w:color w:val="000000"/>
          <w:sz w:val="36"/>
          <w:szCs w:val="36"/>
        </w:rPr>
        <w:t>), non possono né erodere, né annullare l’identità del popolo palestinese […]».</w:t>
      </w:r>
    </w:p>
    <w:p w14:paraId="02FC1071" w14:textId="77777777" w:rsidR="00352044" w:rsidRPr="00C442D3" w:rsidRDefault="00352044" w:rsidP="00C442D3">
      <w:pPr>
        <w:spacing w:line="240" w:lineRule="auto"/>
        <w:ind w:firstLine="284"/>
        <w:rPr>
          <w:rFonts w:cstheme="minorHAnsi"/>
          <w:color w:val="000000"/>
          <w:sz w:val="36"/>
          <w:szCs w:val="36"/>
        </w:rPr>
      </w:pPr>
      <w:r w:rsidRPr="00C442D3">
        <w:rPr>
          <w:rFonts w:cstheme="minorHAnsi"/>
          <w:color w:val="000000"/>
          <w:sz w:val="36"/>
          <w:szCs w:val="36"/>
        </w:rPr>
        <w:t xml:space="preserve">«n. 6 Il popolo palestinese è un solo popolo, costituito da tutti i palestinesi dentro e fuori la Palestina, </w:t>
      </w:r>
      <w:r w:rsidRPr="00C442D3">
        <w:rPr>
          <w:rFonts w:cstheme="minorHAnsi"/>
          <w:sz w:val="36"/>
          <w:szCs w:val="36"/>
        </w:rPr>
        <w:t xml:space="preserve">indipendentemente dalla loro religione, cultura </w:t>
      </w:r>
      <w:r w:rsidRPr="00C442D3">
        <w:rPr>
          <w:rFonts w:cstheme="minorHAnsi"/>
          <w:color w:val="000000"/>
          <w:sz w:val="36"/>
          <w:szCs w:val="36"/>
        </w:rPr>
        <w:t>o affiliazione politica».</w:t>
      </w:r>
    </w:p>
    <w:p w14:paraId="1B0F69D6" w14:textId="77777777" w:rsidR="00352044" w:rsidRPr="00C442D3" w:rsidRDefault="00352044" w:rsidP="00C442D3">
      <w:pPr>
        <w:spacing w:line="240" w:lineRule="auto"/>
        <w:ind w:firstLine="284"/>
        <w:rPr>
          <w:rFonts w:cstheme="minorHAnsi"/>
          <w:sz w:val="36"/>
          <w:szCs w:val="36"/>
        </w:rPr>
      </w:pPr>
    </w:p>
    <w:p w14:paraId="070E22E8" w14:textId="77777777" w:rsidR="00D066CE" w:rsidRDefault="00352044" w:rsidP="00C442D3">
      <w:pPr>
        <w:spacing w:line="240" w:lineRule="auto"/>
        <w:ind w:firstLine="284"/>
        <w:rPr>
          <w:rFonts w:cstheme="minorHAnsi"/>
          <w:color w:val="000000"/>
          <w:sz w:val="36"/>
          <w:szCs w:val="36"/>
          <w:lang w:eastAsia="zh-CN"/>
        </w:rPr>
      </w:pPr>
      <w:r w:rsidRPr="00C442D3">
        <w:rPr>
          <w:rFonts w:cstheme="minorHAnsi"/>
          <w:sz w:val="36"/>
          <w:szCs w:val="36"/>
        </w:rPr>
        <w:t>L</w:t>
      </w:r>
      <w:r w:rsidRPr="00C442D3">
        <w:rPr>
          <w:rFonts w:cstheme="minorHAnsi"/>
          <w:color w:val="000000"/>
          <w:sz w:val="36"/>
          <w:szCs w:val="36"/>
        </w:rPr>
        <w:t>a dimensione territoriale attuale o memoriale è prospettata costitutiva dell’identità di un popolo, per la quale la componente religiosa non è considerata determinante. Tuttavia gli articoli dal 7 all’11, dedicati rispettivamente a «Islam e Palestina</w:t>
      </w:r>
      <w:r w:rsidRPr="00C442D3">
        <w:rPr>
          <w:rFonts w:cstheme="minorHAnsi"/>
          <w:color w:val="000000"/>
          <w:sz w:val="36"/>
          <w:szCs w:val="36"/>
          <w:lang w:eastAsia="zh-CN"/>
        </w:rPr>
        <w:t xml:space="preserve">» e a «Gerusalemme», ribadiscono l’egemonia islamica e prospettano che le altre religioni devono essere collocate sotto l’«ombrello» musulmano. Non è un caso che le stragi del 7 ottobre e le loro conseguenze siano state poste da Hamas sotto la denominazione di «Diluvio di Al-Aqsa» (luogo santo islamico per eccellenza). </w:t>
      </w:r>
    </w:p>
    <w:p w14:paraId="395C05B8" w14:textId="7B36F97D" w:rsidR="00352044" w:rsidRPr="00C442D3" w:rsidRDefault="00352044" w:rsidP="00C442D3">
      <w:pPr>
        <w:spacing w:line="240" w:lineRule="auto"/>
        <w:ind w:firstLine="284"/>
        <w:rPr>
          <w:rFonts w:ascii="Arial" w:hAnsi="Arial" w:cs="Arial"/>
          <w:color w:val="000000"/>
          <w:sz w:val="36"/>
          <w:szCs w:val="36"/>
          <w:lang w:eastAsia="zh-CN"/>
        </w:rPr>
      </w:pPr>
      <w:r w:rsidRPr="00C442D3">
        <w:rPr>
          <w:rFonts w:cstheme="minorHAnsi"/>
          <w:color w:val="000000"/>
          <w:sz w:val="36"/>
          <w:szCs w:val="36"/>
          <w:lang w:eastAsia="zh-CN"/>
        </w:rPr>
        <w:t xml:space="preserve">Fermo restando che la portata degli avvenimenti in corso è tanto tragica, rilevante e imprevedibile nelle sue conseguenze da dischiudere, forse, </w:t>
      </w:r>
      <w:r w:rsidR="00F5448F">
        <w:rPr>
          <w:rFonts w:cstheme="minorHAnsi"/>
          <w:color w:val="000000"/>
          <w:sz w:val="36"/>
          <w:szCs w:val="36"/>
          <w:lang w:eastAsia="zh-CN"/>
        </w:rPr>
        <w:t xml:space="preserve">per Israele-Palestina </w:t>
      </w:r>
      <w:r w:rsidRPr="00C442D3">
        <w:rPr>
          <w:rFonts w:cstheme="minorHAnsi"/>
          <w:color w:val="000000"/>
          <w:sz w:val="36"/>
          <w:szCs w:val="36"/>
          <w:lang w:eastAsia="zh-CN"/>
        </w:rPr>
        <w:t>un quadro complessivo radicalmente diverso dall’attuale.</w:t>
      </w:r>
    </w:p>
    <w:p w14:paraId="1A543F8F" w14:textId="77777777" w:rsidR="00352044" w:rsidRPr="00C442D3" w:rsidRDefault="00352044" w:rsidP="00C442D3">
      <w:pPr>
        <w:spacing w:line="240" w:lineRule="auto"/>
        <w:ind w:firstLine="284"/>
        <w:rPr>
          <w:rFonts w:cstheme="minorHAnsi"/>
          <w:b/>
          <w:bCs/>
          <w:kern w:val="2"/>
          <w:sz w:val="36"/>
          <w:szCs w:val="36"/>
        </w:rPr>
      </w:pPr>
    </w:p>
    <w:p w14:paraId="4CF3F4AF" w14:textId="77777777" w:rsidR="005121A9" w:rsidRPr="00C52C16" w:rsidRDefault="005121A9" w:rsidP="00164FD6">
      <w:pPr>
        <w:spacing w:line="240" w:lineRule="auto"/>
        <w:ind w:firstLine="0"/>
        <w:rPr>
          <w:sz w:val="36"/>
          <w:szCs w:val="36"/>
        </w:rPr>
      </w:pPr>
    </w:p>
    <w:sectPr w:rsidR="005121A9" w:rsidRPr="00C52C16" w:rsidSect="005121A9">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97BDE" w14:textId="77777777" w:rsidR="00DB560A" w:rsidRDefault="00DB560A" w:rsidP="004E545A">
      <w:pPr>
        <w:spacing w:line="240" w:lineRule="auto"/>
      </w:pPr>
      <w:r>
        <w:separator/>
      </w:r>
    </w:p>
  </w:endnote>
  <w:endnote w:type="continuationSeparator" w:id="0">
    <w:p w14:paraId="4345ADF9" w14:textId="77777777" w:rsidR="00DB560A" w:rsidRDefault="00DB560A" w:rsidP="004E5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7EA41" w14:textId="77777777" w:rsidR="00DB560A" w:rsidRDefault="00DB560A" w:rsidP="004E545A">
      <w:pPr>
        <w:spacing w:line="240" w:lineRule="auto"/>
      </w:pPr>
      <w:r>
        <w:separator/>
      </w:r>
    </w:p>
  </w:footnote>
  <w:footnote w:type="continuationSeparator" w:id="0">
    <w:p w14:paraId="7BBD2D99" w14:textId="77777777" w:rsidR="00DB560A" w:rsidRDefault="00DB560A" w:rsidP="004E545A">
      <w:pPr>
        <w:spacing w:line="240" w:lineRule="auto"/>
      </w:pPr>
      <w:r>
        <w:continuationSeparator/>
      </w:r>
    </w:p>
  </w:footnote>
  <w:footnote w:id="1">
    <w:p w14:paraId="2243F39A" w14:textId="77777777" w:rsidR="004E545A" w:rsidRPr="00164FD6" w:rsidRDefault="004E545A" w:rsidP="004E545A">
      <w:pPr>
        <w:pStyle w:val="Testonotaapidipagina"/>
        <w:jc w:val="both"/>
        <w:rPr>
          <w:rFonts w:cs="Arial"/>
          <w:sz w:val="28"/>
          <w:szCs w:val="28"/>
        </w:rPr>
      </w:pPr>
      <w:r w:rsidRPr="00164FD6">
        <w:rPr>
          <w:rStyle w:val="Rimandonotaapidipagina"/>
          <w:rFonts w:asciiTheme="minorHAnsi" w:hAnsiTheme="minorHAnsi" w:cstheme="minorHAnsi"/>
          <w:sz w:val="28"/>
          <w:szCs w:val="28"/>
        </w:rPr>
        <w:footnoteRef/>
      </w:r>
      <w:r w:rsidRPr="00164FD6">
        <w:rPr>
          <w:rFonts w:asciiTheme="minorHAnsi" w:hAnsiTheme="minorHAnsi" w:cstheme="minorHAnsi"/>
          <w:sz w:val="28"/>
          <w:szCs w:val="28"/>
        </w:rPr>
        <w:t xml:space="preserve"> Frase coniata dal ministro della Chiesa scozzese Alexander Keith che nel 1843 affermò che gli ebrei erano «un popolo senza un paese, sebbene la loro terra […] [fosse] in gran parte un paese senza popolo». Nel 1853 Anthony Ashley Cooper, conte di Shaftesbury, definì la Siria «un pase senza nazione» che aveva bisogno di «una nazione senza paese», a vale a dire «gli antichi e legittimi proprietari di quel suolo, gli ebrei». «la Palestina è un pase senza popolo; gli ebrei sono un popolo senza patria» (Israel Zangwill, 1901). Cfr. A. Marzano, «La Palestina una terra vuota e desolata» in </w:t>
      </w:r>
      <w:r w:rsidRPr="00164FD6">
        <w:rPr>
          <w:rFonts w:asciiTheme="minorHAnsi" w:hAnsiTheme="minorHAnsi" w:cstheme="minorHAnsi"/>
          <w:i/>
          <w:iCs/>
          <w:sz w:val="28"/>
          <w:szCs w:val="28"/>
        </w:rPr>
        <w:t>Questa terra è nostra per sempre</w:t>
      </w:r>
      <w:r w:rsidRPr="00164FD6">
        <w:rPr>
          <w:rFonts w:asciiTheme="minorHAnsi" w:hAnsiTheme="minorHAnsi" w:cstheme="minorHAnsi"/>
          <w:sz w:val="28"/>
          <w:szCs w:val="28"/>
        </w:rPr>
        <w:t xml:space="preserve">. Israele e Palestina, Laterza, Bari-Roma 2024. </w:t>
      </w:r>
    </w:p>
  </w:footnote>
  <w:footnote w:id="2">
    <w:p w14:paraId="273B3FB8" w14:textId="77777777" w:rsidR="0082001C" w:rsidRPr="00164FD6" w:rsidRDefault="0082001C" w:rsidP="0082001C">
      <w:pPr>
        <w:pStyle w:val="Testonotaapidipagina"/>
        <w:jc w:val="both"/>
        <w:rPr>
          <w:rFonts w:ascii="Calibri" w:hAnsi="Calibri" w:cs="Calibri"/>
          <w:i/>
          <w:iCs/>
          <w:sz w:val="28"/>
          <w:szCs w:val="28"/>
        </w:rPr>
      </w:pPr>
      <w:r w:rsidRPr="00164FD6">
        <w:rPr>
          <w:rStyle w:val="Rimandonotaapidipagina"/>
          <w:rFonts w:ascii="Calibri" w:eastAsiaTheme="majorEastAsia" w:hAnsi="Calibri" w:cs="Calibri"/>
          <w:sz w:val="28"/>
          <w:szCs w:val="28"/>
        </w:rPr>
        <w:footnoteRef/>
      </w:r>
      <w:r w:rsidRPr="00164FD6">
        <w:rPr>
          <w:rFonts w:ascii="Calibri" w:hAnsi="Calibri" w:cs="Calibri"/>
          <w:sz w:val="28"/>
          <w:szCs w:val="28"/>
        </w:rPr>
        <w:t xml:space="preserve"> </w:t>
      </w:r>
      <w:r w:rsidRPr="00164FD6">
        <w:rPr>
          <w:rFonts w:ascii="Calibri" w:hAnsi="Calibri" w:cs="Calibri"/>
          <w:i/>
          <w:iCs/>
          <w:sz w:val="28"/>
          <w:szCs w:val="28"/>
        </w:rPr>
        <w:t xml:space="preserve">The Jerusalem Report </w:t>
      </w:r>
      <w:r w:rsidRPr="00164FD6">
        <w:rPr>
          <w:rFonts w:ascii="Calibri" w:hAnsi="Calibri" w:cs="Calibri"/>
          <w:sz w:val="28"/>
          <w:szCs w:val="28"/>
        </w:rPr>
        <w:t>16, 1 (1992), 10.</w:t>
      </w:r>
    </w:p>
  </w:footnote>
  <w:footnote w:id="3">
    <w:p w14:paraId="2708492A" w14:textId="1733B939" w:rsidR="0082001C" w:rsidRPr="00164FD6" w:rsidRDefault="0082001C" w:rsidP="0082001C">
      <w:pPr>
        <w:pStyle w:val="Testonotaapidipagina"/>
        <w:jc w:val="both"/>
        <w:rPr>
          <w:rFonts w:ascii="Calibri" w:hAnsi="Calibri" w:cs="Calibri"/>
          <w:sz w:val="28"/>
          <w:szCs w:val="28"/>
        </w:rPr>
      </w:pPr>
      <w:r w:rsidRPr="00164FD6">
        <w:rPr>
          <w:rStyle w:val="Rimandonotaapidipagina"/>
          <w:rFonts w:ascii="Calibri" w:eastAsiaTheme="majorEastAsia" w:hAnsi="Calibri" w:cs="Calibri"/>
          <w:sz w:val="28"/>
          <w:szCs w:val="28"/>
        </w:rPr>
        <w:footnoteRef/>
      </w:r>
      <w:r w:rsidRPr="00164FD6">
        <w:rPr>
          <w:rFonts w:ascii="Calibri" w:hAnsi="Calibri" w:cs="Calibri"/>
          <w:sz w:val="28"/>
          <w:szCs w:val="28"/>
        </w:rPr>
        <w:t xml:space="preserve"> Cit. in </w:t>
      </w:r>
      <w:r w:rsidRPr="00164FD6">
        <w:rPr>
          <w:rFonts w:ascii="Calibri" w:hAnsi="Calibri" w:cs="Calibri"/>
          <w:smallCaps/>
          <w:sz w:val="28"/>
          <w:szCs w:val="28"/>
        </w:rPr>
        <w:t xml:space="preserve">G. Lerner, </w:t>
      </w:r>
      <w:r w:rsidRPr="00164FD6">
        <w:rPr>
          <w:rFonts w:ascii="Calibri" w:hAnsi="Calibri" w:cs="Calibri"/>
          <w:i/>
          <w:iCs/>
          <w:sz w:val="28"/>
          <w:szCs w:val="28"/>
        </w:rPr>
        <w:t>Gaza</w:t>
      </w:r>
      <w:r w:rsidRPr="00164FD6">
        <w:rPr>
          <w:rFonts w:ascii="Calibri" w:hAnsi="Calibri" w:cs="Calibri"/>
          <w:sz w:val="28"/>
          <w:szCs w:val="28"/>
        </w:rPr>
        <w:t xml:space="preserve">, Feltrinelli, Milano 2024, </w:t>
      </w:r>
      <w:r w:rsidR="009D633D" w:rsidRPr="00164FD6">
        <w:rPr>
          <w:rFonts w:ascii="Calibri" w:hAnsi="Calibri" w:cs="Calibri"/>
          <w:sz w:val="28"/>
          <w:szCs w:val="28"/>
        </w:rPr>
        <w:t>p.</w:t>
      </w:r>
      <w:r w:rsidRPr="00164FD6">
        <w:rPr>
          <w:rFonts w:ascii="Calibri" w:hAnsi="Calibri" w:cs="Calibri"/>
          <w:sz w:val="28"/>
          <w:szCs w:val="28"/>
        </w:rPr>
        <w:t>109.</w:t>
      </w:r>
    </w:p>
  </w:footnote>
  <w:footnote w:id="4">
    <w:p w14:paraId="2FCF7628" w14:textId="297069AF" w:rsidR="00A911A6" w:rsidRPr="00164FD6" w:rsidRDefault="00A911A6" w:rsidP="00A911A6">
      <w:pPr>
        <w:pStyle w:val="Testonotaapidipagina"/>
        <w:rPr>
          <w:rFonts w:asciiTheme="minorHAnsi" w:hAnsiTheme="minorHAnsi"/>
          <w:sz w:val="28"/>
          <w:szCs w:val="28"/>
        </w:rPr>
      </w:pPr>
      <w:r w:rsidRPr="00164FD6">
        <w:rPr>
          <w:rStyle w:val="Rimandonotaapidipagina"/>
          <w:rFonts w:eastAsiaTheme="majorEastAsia"/>
          <w:sz w:val="28"/>
          <w:szCs w:val="28"/>
        </w:rPr>
        <w:footnoteRef/>
      </w:r>
      <w:r w:rsidRPr="00164FD6">
        <w:rPr>
          <w:rFonts w:asciiTheme="minorHAnsi" w:hAnsiTheme="minorHAnsi"/>
          <w:sz w:val="28"/>
          <w:szCs w:val="28"/>
        </w:rPr>
        <w:t xml:space="preserve"> Per un inquadrament</w:t>
      </w:r>
      <w:r w:rsidR="00164FD6" w:rsidRPr="00164FD6">
        <w:rPr>
          <w:rFonts w:asciiTheme="minorHAnsi" w:hAnsiTheme="minorHAnsi"/>
          <w:sz w:val="28"/>
          <w:szCs w:val="28"/>
        </w:rPr>
        <w:t>o</w:t>
      </w:r>
      <w:r w:rsidRPr="00164FD6">
        <w:rPr>
          <w:rFonts w:asciiTheme="minorHAnsi" w:hAnsiTheme="minorHAnsi"/>
          <w:sz w:val="28"/>
          <w:szCs w:val="28"/>
        </w:rPr>
        <w:t xml:space="preserve"> generale, cfr. G. Vercellin, </w:t>
      </w:r>
      <w:r w:rsidRPr="00164FD6">
        <w:rPr>
          <w:rFonts w:asciiTheme="minorHAnsi" w:hAnsiTheme="minorHAnsi"/>
          <w:i/>
          <w:sz w:val="28"/>
          <w:szCs w:val="28"/>
        </w:rPr>
        <w:t>Jihad. L'islam e la guerra</w:t>
      </w:r>
      <w:r w:rsidRPr="00164FD6">
        <w:rPr>
          <w:rFonts w:asciiTheme="minorHAnsi" w:hAnsiTheme="minorHAnsi"/>
          <w:sz w:val="28"/>
          <w:szCs w:val="28"/>
        </w:rPr>
        <w:t xml:space="preserve">, Giunti, Firenze 1997; D. Cook, </w:t>
      </w:r>
      <w:r w:rsidRPr="00164FD6">
        <w:rPr>
          <w:rFonts w:asciiTheme="minorHAnsi" w:hAnsiTheme="minorHAnsi"/>
          <w:i/>
          <w:sz w:val="28"/>
          <w:szCs w:val="28"/>
        </w:rPr>
        <w:t>Storia del Jihad. Da Maometto ai giorni nostri</w:t>
      </w:r>
      <w:r w:rsidRPr="00164FD6">
        <w:rPr>
          <w:rFonts w:asciiTheme="minorHAnsi" w:hAnsiTheme="minorHAnsi"/>
          <w:sz w:val="28"/>
          <w:szCs w:val="28"/>
        </w:rPr>
        <w:t xml:space="preserve">, Einaudi, Torino 2007.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99F"/>
    <w:multiLevelType w:val="multilevel"/>
    <w:tmpl w:val="D504B068"/>
    <w:lvl w:ilvl="0">
      <w:start w:val="1"/>
      <w:numFmt w:val="decimal"/>
      <w:lvlText w:val="%1."/>
      <w:lvlJc w:val="left"/>
      <w:pPr>
        <w:ind w:left="644" w:hanging="360"/>
      </w:pPr>
    </w:lvl>
    <w:lvl w:ilvl="1">
      <w:start w:val="1"/>
      <w:numFmt w:val="decimal"/>
      <w:isLgl/>
      <w:lvlText w:val="%1.%2"/>
      <w:lvlJc w:val="left"/>
      <w:pPr>
        <w:ind w:left="988" w:hanging="4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 w15:restartNumberingAfterBreak="0">
    <w:nsid w:val="13F01D5A"/>
    <w:multiLevelType w:val="multilevel"/>
    <w:tmpl w:val="E000E6B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num w:numId="1" w16cid:durableId="1520654749">
    <w:abstractNumId w:val="1"/>
  </w:num>
  <w:num w:numId="2" w16cid:durableId="1477919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82"/>
    <w:rsid w:val="00021BCB"/>
    <w:rsid w:val="00164FD6"/>
    <w:rsid w:val="001E738D"/>
    <w:rsid w:val="00235004"/>
    <w:rsid w:val="002E0F76"/>
    <w:rsid w:val="00352044"/>
    <w:rsid w:val="003A158B"/>
    <w:rsid w:val="003E3C77"/>
    <w:rsid w:val="0046527F"/>
    <w:rsid w:val="004E545A"/>
    <w:rsid w:val="005121A9"/>
    <w:rsid w:val="00525004"/>
    <w:rsid w:val="005D7BB9"/>
    <w:rsid w:val="007012ED"/>
    <w:rsid w:val="007147BC"/>
    <w:rsid w:val="0073747F"/>
    <w:rsid w:val="0082001C"/>
    <w:rsid w:val="008C1F39"/>
    <w:rsid w:val="008C6631"/>
    <w:rsid w:val="00932B8A"/>
    <w:rsid w:val="00956929"/>
    <w:rsid w:val="009A6894"/>
    <w:rsid w:val="009D633D"/>
    <w:rsid w:val="00A500DF"/>
    <w:rsid w:val="00A503BE"/>
    <w:rsid w:val="00A911A6"/>
    <w:rsid w:val="00B0447C"/>
    <w:rsid w:val="00B23C1A"/>
    <w:rsid w:val="00B63E5E"/>
    <w:rsid w:val="00B66A5F"/>
    <w:rsid w:val="00BC180A"/>
    <w:rsid w:val="00C442D3"/>
    <w:rsid w:val="00C52C16"/>
    <w:rsid w:val="00C81182"/>
    <w:rsid w:val="00CD7266"/>
    <w:rsid w:val="00D066CE"/>
    <w:rsid w:val="00D14878"/>
    <w:rsid w:val="00DB42C5"/>
    <w:rsid w:val="00DB560A"/>
    <w:rsid w:val="00E16C77"/>
    <w:rsid w:val="00EB557F"/>
    <w:rsid w:val="00EC0EA7"/>
    <w:rsid w:val="00F5409E"/>
    <w:rsid w:val="00F5448F"/>
    <w:rsid w:val="00FA4026"/>
    <w:rsid w:val="00FC288E"/>
    <w:rsid w:val="00FE19A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7A3D"/>
  <w15:chartTrackingRefBased/>
  <w15:docId w15:val="{D08B07D9-9708-4CD3-A595-5AAB2D86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4"/>
        <w:lang w:val="it-IT" w:eastAsia="en-US" w:bidi="ar-SA"/>
      </w:rPr>
    </w:rPrDefault>
    <w:pPrDefault>
      <w:pPr>
        <w:spacing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19AA"/>
    <w:pPr>
      <w:ind w:left="0" w:firstLine="170"/>
    </w:pPr>
    <w:rPr>
      <w:rFonts w:asciiTheme="minorHAnsi" w:hAnsiTheme="minorHAnsi" w:cstheme="minorBidi"/>
      <w:sz w:val="22"/>
      <w:szCs w:val="22"/>
    </w:rPr>
  </w:style>
  <w:style w:type="paragraph" w:styleId="Titolo1">
    <w:name w:val="heading 1"/>
    <w:basedOn w:val="Normale"/>
    <w:next w:val="Normale"/>
    <w:link w:val="Titolo1Carattere"/>
    <w:uiPriority w:val="9"/>
    <w:qFormat/>
    <w:rsid w:val="00C811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811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8118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8118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8118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8118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118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118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118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19AA"/>
    <w:pPr>
      <w:ind w:left="720"/>
      <w:contextualSpacing/>
    </w:pPr>
  </w:style>
  <w:style w:type="character" w:customStyle="1" w:styleId="Titolo1Carattere">
    <w:name w:val="Titolo 1 Carattere"/>
    <w:basedOn w:val="Carpredefinitoparagrafo"/>
    <w:link w:val="Titolo1"/>
    <w:uiPriority w:val="9"/>
    <w:rsid w:val="00C8118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8118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81182"/>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81182"/>
    <w:rPr>
      <w:rFonts w:asciiTheme="minorHAnsi" w:eastAsiaTheme="majorEastAsia" w:hAnsiTheme="minorHAnsi" w:cstheme="majorBidi"/>
      <w:i/>
      <w:iCs/>
      <w:color w:val="365F91" w:themeColor="accent1" w:themeShade="BF"/>
      <w:sz w:val="22"/>
      <w:szCs w:val="22"/>
    </w:rPr>
  </w:style>
  <w:style w:type="character" w:customStyle="1" w:styleId="Titolo5Carattere">
    <w:name w:val="Titolo 5 Carattere"/>
    <w:basedOn w:val="Carpredefinitoparagrafo"/>
    <w:link w:val="Titolo5"/>
    <w:uiPriority w:val="9"/>
    <w:semiHidden/>
    <w:rsid w:val="00C81182"/>
    <w:rPr>
      <w:rFonts w:asciiTheme="minorHAnsi" w:eastAsiaTheme="majorEastAsia" w:hAnsiTheme="minorHAnsi" w:cstheme="majorBidi"/>
      <w:color w:val="365F91" w:themeColor="accent1" w:themeShade="BF"/>
      <w:sz w:val="22"/>
      <w:szCs w:val="22"/>
    </w:rPr>
  </w:style>
  <w:style w:type="character" w:customStyle="1" w:styleId="Titolo6Carattere">
    <w:name w:val="Titolo 6 Carattere"/>
    <w:basedOn w:val="Carpredefinitoparagrafo"/>
    <w:link w:val="Titolo6"/>
    <w:uiPriority w:val="9"/>
    <w:semiHidden/>
    <w:rsid w:val="00C81182"/>
    <w:rPr>
      <w:rFonts w:asciiTheme="minorHAnsi" w:eastAsiaTheme="majorEastAsia" w:hAnsiTheme="minorHAnsi" w:cstheme="majorBidi"/>
      <w:i/>
      <w:iCs/>
      <w:color w:val="595959" w:themeColor="text1" w:themeTint="A6"/>
      <w:sz w:val="22"/>
      <w:szCs w:val="22"/>
    </w:rPr>
  </w:style>
  <w:style w:type="character" w:customStyle="1" w:styleId="Titolo7Carattere">
    <w:name w:val="Titolo 7 Carattere"/>
    <w:basedOn w:val="Carpredefinitoparagrafo"/>
    <w:link w:val="Titolo7"/>
    <w:uiPriority w:val="9"/>
    <w:semiHidden/>
    <w:rsid w:val="00C81182"/>
    <w:rPr>
      <w:rFonts w:asciiTheme="minorHAnsi" w:eastAsiaTheme="majorEastAsia" w:hAnsiTheme="minorHAnsi" w:cstheme="majorBidi"/>
      <w:color w:val="595959" w:themeColor="text1" w:themeTint="A6"/>
      <w:sz w:val="22"/>
      <w:szCs w:val="22"/>
    </w:rPr>
  </w:style>
  <w:style w:type="character" w:customStyle="1" w:styleId="Titolo8Carattere">
    <w:name w:val="Titolo 8 Carattere"/>
    <w:basedOn w:val="Carpredefinitoparagrafo"/>
    <w:link w:val="Titolo8"/>
    <w:uiPriority w:val="9"/>
    <w:semiHidden/>
    <w:rsid w:val="00C81182"/>
    <w:rPr>
      <w:rFonts w:asciiTheme="minorHAnsi" w:eastAsiaTheme="majorEastAsia" w:hAnsiTheme="minorHAnsi" w:cstheme="majorBidi"/>
      <w:i/>
      <w:iCs/>
      <w:color w:val="272727" w:themeColor="text1" w:themeTint="D8"/>
      <w:sz w:val="22"/>
      <w:szCs w:val="22"/>
    </w:rPr>
  </w:style>
  <w:style w:type="character" w:customStyle="1" w:styleId="Titolo9Carattere">
    <w:name w:val="Titolo 9 Carattere"/>
    <w:basedOn w:val="Carpredefinitoparagrafo"/>
    <w:link w:val="Titolo9"/>
    <w:uiPriority w:val="9"/>
    <w:semiHidden/>
    <w:rsid w:val="00C81182"/>
    <w:rPr>
      <w:rFonts w:asciiTheme="minorHAnsi" w:eastAsiaTheme="majorEastAsia" w:hAnsiTheme="minorHAnsi" w:cstheme="majorBidi"/>
      <w:color w:val="272727" w:themeColor="text1" w:themeTint="D8"/>
      <w:sz w:val="22"/>
      <w:szCs w:val="22"/>
    </w:rPr>
  </w:style>
  <w:style w:type="paragraph" w:styleId="Titolo">
    <w:name w:val="Title"/>
    <w:basedOn w:val="Normale"/>
    <w:next w:val="Normale"/>
    <w:link w:val="TitoloCarattere"/>
    <w:qFormat/>
    <w:rsid w:val="00C81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C8118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1182"/>
    <w:pPr>
      <w:numPr>
        <w:ilvl w:val="1"/>
      </w:numPr>
      <w:spacing w:after="160"/>
      <w:ind w:firstLine="17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1182"/>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118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1182"/>
    <w:rPr>
      <w:rFonts w:asciiTheme="minorHAnsi" w:hAnsiTheme="minorHAnsi" w:cstheme="minorBidi"/>
      <w:i/>
      <w:iCs/>
      <w:color w:val="404040" w:themeColor="text1" w:themeTint="BF"/>
      <w:sz w:val="22"/>
      <w:szCs w:val="22"/>
    </w:rPr>
  </w:style>
  <w:style w:type="character" w:styleId="Enfasiintensa">
    <w:name w:val="Intense Emphasis"/>
    <w:basedOn w:val="Carpredefinitoparagrafo"/>
    <w:uiPriority w:val="21"/>
    <w:qFormat/>
    <w:rsid w:val="00C81182"/>
    <w:rPr>
      <w:i/>
      <w:iCs/>
      <w:color w:val="365F91" w:themeColor="accent1" w:themeShade="BF"/>
    </w:rPr>
  </w:style>
  <w:style w:type="paragraph" w:styleId="Citazioneintensa">
    <w:name w:val="Intense Quote"/>
    <w:basedOn w:val="Normale"/>
    <w:next w:val="Normale"/>
    <w:link w:val="CitazioneintensaCarattere"/>
    <w:uiPriority w:val="30"/>
    <w:qFormat/>
    <w:rsid w:val="00C811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81182"/>
    <w:rPr>
      <w:rFonts w:asciiTheme="minorHAnsi" w:hAnsiTheme="minorHAnsi" w:cstheme="minorBidi"/>
      <w:i/>
      <w:iCs/>
      <w:color w:val="365F91" w:themeColor="accent1" w:themeShade="BF"/>
      <w:sz w:val="22"/>
      <w:szCs w:val="22"/>
    </w:rPr>
  </w:style>
  <w:style w:type="character" w:styleId="Riferimentointenso">
    <w:name w:val="Intense Reference"/>
    <w:basedOn w:val="Carpredefinitoparagrafo"/>
    <w:uiPriority w:val="32"/>
    <w:qFormat/>
    <w:rsid w:val="00C81182"/>
    <w:rPr>
      <w:b/>
      <w:bCs/>
      <w:smallCaps/>
      <w:color w:val="365F91" w:themeColor="accent1" w:themeShade="BF"/>
      <w:spacing w:val="5"/>
    </w:rPr>
  </w:style>
  <w:style w:type="paragraph" w:customStyle="1" w:styleId="Default">
    <w:name w:val="Default"/>
    <w:rsid w:val="00C52C16"/>
    <w:pPr>
      <w:autoSpaceDE w:val="0"/>
      <w:autoSpaceDN w:val="0"/>
      <w:adjustRightInd w:val="0"/>
      <w:spacing w:line="240" w:lineRule="auto"/>
      <w:ind w:left="0"/>
      <w:jc w:val="left"/>
    </w:pPr>
    <w:rPr>
      <w:rFonts w:ascii="Garamond" w:hAnsi="Garamond" w:cs="Garamond"/>
      <w:color w:val="000000"/>
      <w:szCs w:val="24"/>
      <w:lang w:bidi="he-IL"/>
    </w:rPr>
  </w:style>
  <w:style w:type="character" w:customStyle="1" w:styleId="text-to-speech">
    <w:name w:val="text-to-speech"/>
    <w:basedOn w:val="Carpredefinitoparagrafo"/>
    <w:rsid w:val="00B23C1A"/>
  </w:style>
  <w:style w:type="character" w:customStyle="1" w:styleId="versenumber">
    <w:name w:val="verse_number"/>
    <w:basedOn w:val="Carpredefinitoparagrafo"/>
    <w:rsid w:val="00B23C1A"/>
  </w:style>
  <w:style w:type="paragraph" w:styleId="Testonotaapidipagina">
    <w:name w:val="footnote text"/>
    <w:basedOn w:val="Normale"/>
    <w:link w:val="TestonotaapidipaginaCarattere"/>
    <w:unhideWhenUsed/>
    <w:rsid w:val="004E545A"/>
    <w:pPr>
      <w:spacing w:line="240" w:lineRule="auto"/>
      <w:ind w:firstLine="0"/>
      <w:jc w:val="left"/>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rsid w:val="004E545A"/>
    <w:rPr>
      <w:rFonts w:ascii="Arial" w:eastAsia="Times New Roman" w:hAnsi="Arial" w:cs="Times New Roman"/>
      <w:sz w:val="20"/>
      <w:lang w:eastAsia="it-IT"/>
    </w:rPr>
  </w:style>
  <w:style w:type="character" w:styleId="Rimandonotaapidipagina">
    <w:name w:val="footnote reference"/>
    <w:basedOn w:val="Carpredefinitoparagrafo"/>
    <w:semiHidden/>
    <w:unhideWhenUsed/>
    <w:rsid w:val="004E545A"/>
    <w:rPr>
      <w:vertAlign w:val="superscript"/>
    </w:rPr>
  </w:style>
  <w:style w:type="paragraph" w:styleId="Rientrocorpodeltesto">
    <w:name w:val="Body Text Indent"/>
    <w:basedOn w:val="Normale"/>
    <w:link w:val="RientrocorpodeltestoCarattere"/>
    <w:uiPriority w:val="99"/>
    <w:semiHidden/>
    <w:unhideWhenUsed/>
    <w:rsid w:val="001E738D"/>
    <w:pPr>
      <w:spacing w:after="120" w:line="240" w:lineRule="auto"/>
      <w:ind w:left="283" w:firstLine="0"/>
      <w:jc w:val="left"/>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1E738D"/>
    <w:rPr>
      <w:rFonts w:eastAsia="Times New Roman" w:cs="Times New Roman"/>
      <w:sz w:val="20"/>
      <w:lang w:eastAsia="it-IT"/>
    </w:rPr>
  </w:style>
  <w:style w:type="character" w:styleId="Collegamentoipertestuale">
    <w:name w:val="Hyperlink"/>
    <w:basedOn w:val="Carpredefinitoparagrafo"/>
    <w:uiPriority w:val="99"/>
    <w:semiHidden/>
    <w:unhideWhenUsed/>
    <w:rsid w:val="00EB5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CA%BFUmar_ibn_al-Kha%E1%B9%AD%E1%B9%AD%C4%8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19</Pages>
  <Words>4116</Words>
  <Characters>23464</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Stefani</dc:creator>
  <cp:keywords/>
  <dc:description/>
  <cp:lastModifiedBy>Piero Stefani</cp:lastModifiedBy>
  <cp:revision>22</cp:revision>
  <dcterms:created xsi:type="dcterms:W3CDTF">2025-05-14T06:04:00Z</dcterms:created>
  <dcterms:modified xsi:type="dcterms:W3CDTF">2025-05-15T04:37:00Z</dcterms:modified>
</cp:coreProperties>
</file>